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5F7" w:rsidRDefault="008605F7" w:rsidP="00B96A1A">
      <w:pPr>
        <w:outlineLvl w:val="0"/>
        <w:rPr>
          <w:b/>
          <w:sz w:val="28"/>
          <w:szCs w:val="28"/>
        </w:rPr>
      </w:pPr>
      <w:bookmarkStart w:id="0" w:name="_GoBack"/>
      <w:bookmarkEnd w:id="0"/>
    </w:p>
    <w:p w:rsidR="008605F7" w:rsidRPr="00AD3039" w:rsidRDefault="008605F7" w:rsidP="00B96A1A">
      <w:pPr>
        <w:ind w:left="-450" w:right="-450"/>
        <w:rPr>
          <w:i/>
          <w:sz w:val="52"/>
          <w:szCs w:val="52"/>
        </w:rPr>
      </w:pPr>
      <w:r>
        <w:rPr>
          <w:i/>
          <w:noProof/>
          <w:sz w:val="52"/>
          <w:szCs w:val="52"/>
          <w:lang w:bidi="hi-IN"/>
        </w:rPr>
        <w:drawing>
          <wp:inline distT="0" distB="0" distL="0" distR="0">
            <wp:extent cx="1819275" cy="1409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275" cy="1409700"/>
                    </a:xfrm>
                    <a:prstGeom prst="rect">
                      <a:avLst/>
                    </a:prstGeom>
                    <a:noFill/>
                    <a:ln>
                      <a:noFill/>
                    </a:ln>
                  </pic:spPr>
                </pic:pic>
              </a:graphicData>
            </a:graphic>
          </wp:inline>
        </w:drawing>
      </w:r>
      <w:r>
        <w:rPr>
          <w:i/>
          <w:sz w:val="52"/>
          <w:szCs w:val="52"/>
        </w:rPr>
        <w:tab/>
      </w:r>
      <w:r>
        <w:rPr>
          <w:i/>
          <w:sz w:val="52"/>
          <w:szCs w:val="52"/>
        </w:rPr>
        <w:tab/>
      </w:r>
      <w:r w:rsidR="00862B58">
        <w:rPr>
          <w:i/>
          <w:sz w:val="52"/>
          <w:szCs w:val="52"/>
        </w:rPr>
        <w:t>College</w:t>
      </w:r>
      <w:r>
        <w:rPr>
          <w:i/>
          <w:sz w:val="52"/>
          <w:szCs w:val="52"/>
        </w:rPr>
        <w:t xml:space="preserve"> of the </w:t>
      </w:r>
      <w:r w:rsidRPr="00AD3039">
        <w:rPr>
          <w:i/>
          <w:sz w:val="52"/>
          <w:szCs w:val="52"/>
        </w:rPr>
        <w:t>Redwoods</w:t>
      </w:r>
    </w:p>
    <w:p w:rsidR="008605F7" w:rsidRDefault="008605F7" w:rsidP="00B96A1A"/>
    <w:p w:rsidR="008605F7" w:rsidRPr="00AD3039" w:rsidRDefault="008605F7" w:rsidP="00B96A1A">
      <w:pPr>
        <w:ind w:right="-450"/>
        <w:rPr>
          <w:i/>
          <w:iCs/>
          <w:color w:val="000000"/>
          <w:sz w:val="28"/>
          <w:szCs w:val="28"/>
        </w:rPr>
      </w:pPr>
      <w:r w:rsidRPr="00AD3039">
        <w:rPr>
          <w:i/>
          <w:iCs/>
          <w:color w:val="000000"/>
          <w:sz w:val="28"/>
          <w:szCs w:val="28"/>
        </w:rPr>
        <w:t>7351 Tompkins Hill Road</w:t>
      </w:r>
    </w:p>
    <w:p w:rsidR="008605F7" w:rsidRPr="00AD3039" w:rsidRDefault="008605F7" w:rsidP="00B96A1A">
      <w:pPr>
        <w:ind w:right="-450"/>
        <w:rPr>
          <w:i/>
          <w:iCs/>
          <w:color w:val="000000"/>
          <w:sz w:val="28"/>
          <w:szCs w:val="28"/>
        </w:rPr>
      </w:pPr>
      <w:r>
        <w:rPr>
          <w:i/>
          <w:iCs/>
          <w:color w:val="000000"/>
          <w:sz w:val="28"/>
          <w:szCs w:val="28"/>
        </w:rPr>
        <w:t>Eureka, CA</w:t>
      </w:r>
      <w:r w:rsidRPr="00AD3039">
        <w:rPr>
          <w:i/>
          <w:iCs/>
          <w:color w:val="000000"/>
          <w:sz w:val="28"/>
          <w:szCs w:val="28"/>
        </w:rPr>
        <w:t xml:space="preserve">  95501</w:t>
      </w:r>
    </w:p>
    <w:p w:rsidR="008605F7" w:rsidRDefault="008605F7" w:rsidP="00B96A1A">
      <w:pPr>
        <w:pStyle w:val="Default"/>
        <w:rPr>
          <w:b/>
          <w:bCs/>
          <w:sz w:val="44"/>
          <w:szCs w:val="44"/>
        </w:rPr>
      </w:pPr>
    </w:p>
    <w:p w:rsidR="008605F7" w:rsidRDefault="008605F7" w:rsidP="00B96A1A">
      <w:pPr>
        <w:pStyle w:val="Default"/>
        <w:rPr>
          <w:b/>
          <w:bCs/>
          <w:sz w:val="44"/>
          <w:szCs w:val="44"/>
        </w:rPr>
      </w:pPr>
    </w:p>
    <w:p w:rsidR="008605F7" w:rsidRDefault="008605F7" w:rsidP="00B96A1A">
      <w:pPr>
        <w:pStyle w:val="Default"/>
        <w:rPr>
          <w:b/>
          <w:bCs/>
          <w:sz w:val="44"/>
          <w:szCs w:val="44"/>
        </w:rPr>
      </w:pPr>
    </w:p>
    <w:p w:rsidR="008605F7" w:rsidRPr="009E3378" w:rsidRDefault="008605F7" w:rsidP="008B4C29">
      <w:pPr>
        <w:pStyle w:val="Default"/>
        <w:jc w:val="center"/>
        <w:rPr>
          <w:rFonts w:ascii="Times New Roman" w:hAnsi="Times New Roman" w:cs="Times New Roman"/>
          <w:sz w:val="44"/>
          <w:szCs w:val="44"/>
        </w:rPr>
      </w:pPr>
      <w:r w:rsidRPr="009E3378">
        <w:rPr>
          <w:rFonts w:ascii="Times New Roman" w:hAnsi="Times New Roman" w:cs="Times New Roman"/>
          <w:b/>
          <w:bCs/>
          <w:sz w:val="44"/>
          <w:szCs w:val="44"/>
        </w:rPr>
        <w:t>CLOSURE PLAN</w:t>
      </w:r>
    </w:p>
    <w:p w:rsidR="008605F7" w:rsidRDefault="008605F7" w:rsidP="008B4C29">
      <w:pPr>
        <w:pStyle w:val="Default"/>
        <w:jc w:val="center"/>
        <w:rPr>
          <w:i/>
          <w:iCs/>
          <w:sz w:val="28"/>
          <w:szCs w:val="28"/>
        </w:rPr>
      </w:pPr>
    </w:p>
    <w:p w:rsidR="008605F7" w:rsidRDefault="008605F7" w:rsidP="008B4C29">
      <w:pPr>
        <w:pStyle w:val="Default"/>
        <w:jc w:val="center"/>
        <w:rPr>
          <w:i/>
          <w:iCs/>
          <w:sz w:val="28"/>
          <w:szCs w:val="28"/>
        </w:rPr>
      </w:pPr>
    </w:p>
    <w:p w:rsidR="008605F7" w:rsidRDefault="008605F7" w:rsidP="008B4C29">
      <w:pPr>
        <w:pStyle w:val="Default"/>
        <w:jc w:val="center"/>
        <w:rPr>
          <w:i/>
          <w:iCs/>
          <w:sz w:val="28"/>
          <w:szCs w:val="28"/>
        </w:rPr>
      </w:pPr>
    </w:p>
    <w:p w:rsidR="008605F7" w:rsidRDefault="008605F7" w:rsidP="008B4C29">
      <w:pPr>
        <w:pStyle w:val="Default"/>
        <w:jc w:val="center"/>
        <w:rPr>
          <w:i/>
          <w:iCs/>
          <w:sz w:val="28"/>
          <w:szCs w:val="28"/>
        </w:rPr>
      </w:pPr>
    </w:p>
    <w:p w:rsidR="008605F7" w:rsidRDefault="008605F7" w:rsidP="008B4C29">
      <w:pPr>
        <w:pStyle w:val="Default"/>
        <w:jc w:val="center"/>
        <w:rPr>
          <w:i/>
          <w:iCs/>
          <w:sz w:val="28"/>
          <w:szCs w:val="28"/>
        </w:rPr>
      </w:pPr>
    </w:p>
    <w:p w:rsidR="008605F7" w:rsidRPr="009E3378" w:rsidRDefault="008605F7" w:rsidP="008B4C29">
      <w:pPr>
        <w:pStyle w:val="Default"/>
        <w:jc w:val="center"/>
        <w:rPr>
          <w:rFonts w:ascii="Times New Roman" w:hAnsi="Times New Roman" w:cs="Times New Roman"/>
          <w:i/>
          <w:iCs/>
          <w:sz w:val="28"/>
          <w:szCs w:val="28"/>
        </w:rPr>
      </w:pPr>
      <w:r w:rsidRPr="009E3378">
        <w:rPr>
          <w:rFonts w:ascii="Times New Roman" w:hAnsi="Times New Roman" w:cs="Times New Roman"/>
          <w:i/>
          <w:iCs/>
          <w:sz w:val="28"/>
          <w:szCs w:val="28"/>
        </w:rPr>
        <w:t>Submitted to</w:t>
      </w:r>
    </w:p>
    <w:p w:rsidR="008605F7" w:rsidRPr="009E3378" w:rsidRDefault="008605F7" w:rsidP="008B4C29">
      <w:pPr>
        <w:pStyle w:val="Default"/>
        <w:jc w:val="center"/>
        <w:rPr>
          <w:rFonts w:ascii="Times New Roman" w:hAnsi="Times New Roman" w:cs="Times New Roman"/>
          <w:sz w:val="28"/>
          <w:szCs w:val="28"/>
        </w:rPr>
      </w:pPr>
      <w:r w:rsidRPr="009E3378">
        <w:rPr>
          <w:rFonts w:ascii="Times New Roman" w:hAnsi="Times New Roman" w:cs="Times New Roman"/>
          <w:iCs/>
          <w:sz w:val="28"/>
          <w:szCs w:val="28"/>
        </w:rPr>
        <w:t xml:space="preserve">The Accrediting </w:t>
      </w:r>
      <w:r w:rsidR="00BD3681">
        <w:rPr>
          <w:rFonts w:ascii="Times New Roman" w:hAnsi="Times New Roman" w:cs="Times New Roman"/>
          <w:iCs/>
          <w:sz w:val="28"/>
          <w:szCs w:val="28"/>
        </w:rPr>
        <w:t>Commission</w:t>
      </w:r>
      <w:r w:rsidRPr="009E3378">
        <w:rPr>
          <w:rFonts w:ascii="Times New Roman" w:hAnsi="Times New Roman" w:cs="Times New Roman"/>
          <w:iCs/>
          <w:sz w:val="28"/>
          <w:szCs w:val="28"/>
        </w:rPr>
        <w:t xml:space="preserve"> </w:t>
      </w:r>
      <w:r w:rsidRPr="009E3378">
        <w:rPr>
          <w:rFonts w:ascii="Times New Roman" w:hAnsi="Times New Roman" w:cs="Times New Roman"/>
          <w:sz w:val="28"/>
          <w:szCs w:val="28"/>
        </w:rPr>
        <w:t>f</w:t>
      </w:r>
      <w:r w:rsidRPr="009E3378">
        <w:rPr>
          <w:rFonts w:ascii="Times New Roman" w:hAnsi="Times New Roman" w:cs="Times New Roman"/>
          <w:iCs/>
          <w:sz w:val="28"/>
          <w:szCs w:val="28"/>
        </w:rPr>
        <w:t xml:space="preserve">or Community and Junior </w:t>
      </w:r>
      <w:r w:rsidR="00862B58">
        <w:rPr>
          <w:rFonts w:ascii="Times New Roman" w:hAnsi="Times New Roman" w:cs="Times New Roman"/>
          <w:iCs/>
          <w:sz w:val="28"/>
          <w:szCs w:val="28"/>
        </w:rPr>
        <w:t>College</w:t>
      </w:r>
      <w:r w:rsidRPr="009E3378">
        <w:rPr>
          <w:rFonts w:ascii="Times New Roman" w:hAnsi="Times New Roman" w:cs="Times New Roman"/>
          <w:iCs/>
          <w:sz w:val="28"/>
          <w:szCs w:val="28"/>
        </w:rPr>
        <w:t>s</w:t>
      </w:r>
    </w:p>
    <w:p w:rsidR="008605F7" w:rsidRPr="009E3378" w:rsidRDefault="008605F7" w:rsidP="008B4C29">
      <w:pPr>
        <w:pStyle w:val="Default"/>
        <w:jc w:val="center"/>
        <w:rPr>
          <w:rFonts w:ascii="Times New Roman" w:hAnsi="Times New Roman" w:cs="Times New Roman"/>
          <w:iCs/>
          <w:sz w:val="28"/>
          <w:szCs w:val="28"/>
        </w:rPr>
      </w:pPr>
      <w:r w:rsidRPr="009E3378">
        <w:rPr>
          <w:rFonts w:ascii="Times New Roman" w:hAnsi="Times New Roman" w:cs="Times New Roman"/>
          <w:iCs/>
          <w:sz w:val="28"/>
          <w:szCs w:val="28"/>
        </w:rPr>
        <w:t xml:space="preserve">Western Association of Schools and </w:t>
      </w:r>
      <w:r w:rsidR="00862B58">
        <w:rPr>
          <w:rFonts w:ascii="Times New Roman" w:hAnsi="Times New Roman" w:cs="Times New Roman"/>
          <w:iCs/>
          <w:sz w:val="28"/>
          <w:szCs w:val="28"/>
        </w:rPr>
        <w:t>College</w:t>
      </w:r>
      <w:r w:rsidRPr="009E3378">
        <w:rPr>
          <w:rFonts w:ascii="Times New Roman" w:hAnsi="Times New Roman" w:cs="Times New Roman"/>
          <w:iCs/>
          <w:sz w:val="28"/>
          <w:szCs w:val="28"/>
        </w:rPr>
        <w:t>s</w:t>
      </w:r>
    </w:p>
    <w:p w:rsidR="008605F7" w:rsidRDefault="008605F7" w:rsidP="008B4C29">
      <w:pPr>
        <w:pStyle w:val="Default"/>
        <w:jc w:val="center"/>
        <w:rPr>
          <w:i/>
          <w:iCs/>
          <w:sz w:val="28"/>
          <w:szCs w:val="28"/>
        </w:rPr>
      </w:pPr>
    </w:p>
    <w:p w:rsidR="008605F7" w:rsidRDefault="008605F7" w:rsidP="008B4C29">
      <w:pPr>
        <w:pStyle w:val="Default"/>
        <w:jc w:val="center"/>
        <w:rPr>
          <w:i/>
          <w:iCs/>
          <w:sz w:val="28"/>
          <w:szCs w:val="28"/>
        </w:rPr>
      </w:pPr>
    </w:p>
    <w:p w:rsidR="008605F7" w:rsidRDefault="008605F7" w:rsidP="008B4C29">
      <w:pPr>
        <w:pStyle w:val="Default"/>
        <w:jc w:val="center"/>
        <w:rPr>
          <w:i/>
          <w:iCs/>
          <w:sz w:val="28"/>
          <w:szCs w:val="28"/>
        </w:rPr>
      </w:pPr>
    </w:p>
    <w:p w:rsidR="008605F7" w:rsidRDefault="008605F7" w:rsidP="008B4C29">
      <w:pPr>
        <w:pStyle w:val="Default"/>
        <w:jc w:val="center"/>
        <w:rPr>
          <w:i/>
          <w:iCs/>
          <w:sz w:val="28"/>
          <w:szCs w:val="28"/>
        </w:rPr>
      </w:pPr>
    </w:p>
    <w:p w:rsidR="008605F7" w:rsidRDefault="008605F7" w:rsidP="008B4C29">
      <w:pPr>
        <w:pStyle w:val="Default"/>
        <w:jc w:val="center"/>
        <w:rPr>
          <w:i/>
          <w:iCs/>
          <w:sz w:val="28"/>
          <w:szCs w:val="28"/>
        </w:rPr>
      </w:pPr>
    </w:p>
    <w:p w:rsidR="008605F7" w:rsidRDefault="008605F7" w:rsidP="008B4C29">
      <w:pPr>
        <w:pStyle w:val="Default"/>
        <w:jc w:val="center"/>
        <w:rPr>
          <w:i/>
          <w:iCs/>
          <w:sz w:val="28"/>
          <w:szCs w:val="28"/>
        </w:rPr>
      </w:pPr>
    </w:p>
    <w:p w:rsidR="008605F7" w:rsidRDefault="008605F7" w:rsidP="008B4C29">
      <w:pPr>
        <w:pStyle w:val="Default"/>
        <w:jc w:val="center"/>
        <w:rPr>
          <w:i/>
          <w:iCs/>
          <w:sz w:val="28"/>
          <w:szCs w:val="28"/>
        </w:rPr>
      </w:pPr>
    </w:p>
    <w:p w:rsidR="008605F7" w:rsidRPr="009E3378" w:rsidRDefault="008605F7" w:rsidP="008B4C29">
      <w:pPr>
        <w:pStyle w:val="Default"/>
        <w:jc w:val="center"/>
        <w:rPr>
          <w:rFonts w:ascii="Times New Roman" w:hAnsi="Times New Roman" w:cs="Times New Roman"/>
          <w:b/>
          <w:iCs/>
          <w:sz w:val="28"/>
          <w:szCs w:val="28"/>
        </w:rPr>
      </w:pPr>
      <w:r w:rsidRPr="009E3378">
        <w:rPr>
          <w:rFonts w:ascii="Times New Roman" w:hAnsi="Times New Roman" w:cs="Times New Roman"/>
          <w:b/>
          <w:iCs/>
          <w:sz w:val="28"/>
          <w:szCs w:val="28"/>
        </w:rPr>
        <w:t>October 15, 2012</w:t>
      </w:r>
    </w:p>
    <w:p w:rsidR="008605F7" w:rsidRDefault="008605F7" w:rsidP="00B96A1A">
      <w:pPr>
        <w:pStyle w:val="Default"/>
        <w:rPr>
          <w:sz w:val="28"/>
          <w:szCs w:val="28"/>
        </w:rPr>
      </w:pPr>
    </w:p>
    <w:p w:rsidR="008605F7" w:rsidRDefault="008605F7" w:rsidP="00B96A1A">
      <w:pPr>
        <w:rPr>
          <w:b/>
          <w:sz w:val="28"/>
          <w:szCs w:val="28"/>
        </w:rPr>
      </w:pPr>
      <w:r>
        <w:rPr>
          <w:b/>
          <w:sz w:val="28"/>
          <w:szCs w:val="28"/>
        </w:rPr>
        <w:br w:type="page"/>
      </w:r>
    </w:p>
    <w:p w:rsidR="00D14642" w:rsidRDefault="00D14642" w:rsidP="00B96A1A">
      <w:pPr>
        <w:outlineLvl w:val="0"/>
        <w:rPr>
          <w:b/>
          <w:sz w:val="28"/>
          <w:szCs w:val="28"/>
        </w:rPr>
      </w:pPr>
    </w:p>
    <w:p w:rsidR="00D14642" w:rsidRDefault="00D14642">
      <w:pPr>
        <w:rPr>
          <w:b/>
          <w:sz w:val="28"/>
          <w:szCs w:val="28"/>
        </w:rPr>
      </w:pPr>
      <w:r>
        <w:rPr>
          <w:b/>
          <w:sz w:val="28"/>
          <w:szCs w:val="28"/>
        </w:rPr>
        <w:br w:type="page"/>
      </w:r>
    </w:p>
    <w:p w:rsidR="00D14642" w:rsidRPr="00592819" w:rsidRDefault="00D14642" w:rsidP="00D14642">
      <w:pPr>
        <w:rPr>
          <w:spacing w:val="-5"/>
          <w:sz w:val="22"/>
          <w:szCs w:val="22"/>
        </w:rPr>
      </w:pPr>
      <w:r w:rsidRPr="00592819">
        <w:rPr>
          <w:b/>
          <w:spacing w:val="-10"/>
          <w:sz w:val="22"/>
          <w:szCs w:val="22"/>
        </w:rPr>
        <w:lastRenderedPageBreak/>
        <w:t>To:</w:t>
      </w:r>
      <w:r w:rsidRPr="00592819">
        <w:rPr>
          <w:b/>
          <w:spacing w:val="-5"/>
          <w:sz w:val="22"/>
          <w:szCs w:val="22"/>
        </w:rPr>
        <w:tab/>
      </w:r>
      <w:r w:rsidRPr="00592819">
        <w:rPr>
          <w:b/>
          <w:spacing w:val="-5"/>
          <w:sz w:val="22"/>
          <w:szCs w:val="22"/>
        </w:rPr>
        <w:tab/>
      </w:r>
      <w:r w:rsidRPr="00592819">
        <w:rPr>
          <w:spacing w:val="-5"/>
          <w:sz w:val="22"/>
          <w:szCs w:val="22"/>
        </w:rPr>
        <w:t>Accrediting Commission for Community and Junior Colleges</w:t>
      </w:r>
    </w:p>
    <w:p w:rsidR="00D14642" w:rsidRPr="00592819" w:rsidRDefault="00D14642" w:rsidP="00D14642">
      <w:pPr>
        <w:rPr>
          <w:spacing w:val="-5"/>
          <w:sz w:val="22"/>
          <w:szCs w:val="22"/>
        </w:rPr>
      </w:pPr>
      <w:r w:rsidRPr="00592819">
        <w:rPr>
          <w:spacing w:val="-5"/>
          <w:sz w:val="22"/>
          <w:szCs w:val="22"/>
        </w:rPr>
        <w:tab/>
      </w:r>
      <w:r w:rsidRPr="00592819">
        <w:rPr>
          <w:spacing w:val="-5"/>
          <w:sz w:val="22"/>
          <w:szCs w:val="22"/>
        </w:rPr>
        <w:tab/>
        <w:t>Western Association of Schools and Colleges</w:t>
      </w:r>
    </w:p>
    <w:p w:rsidR="00D14642" w:rsidRPr="00592819" w:rsidRDefault="00D14642" w:rsidP="00D14642">
      <w:pPr>
        <w:rPr>
          <w:spacing w:val="-5"/>
          <w:sz w:val="22"/>
          <w:szCs w:val="22"/>
        </w:rPr>
      </w:pPr>
    </w:p>
    <w:p w:rsidR="00D14642" w:rsidRPr="00592819" w:rsidRDefault="00D14642" w:rsidP="00D14642">
      <w:pPr>
        <w:rPr>
          <w:b/>
          <w:spacing w:val="-5"/>
          <w:sz w:val="22"/>
          <w:szCs w:val="22"/>
        </w:rPr>
      </w:pPr>
      <w:r w:rsidRPr="00592819">
        <w:rPr>
          <w:b/>
          <w:spacing w:val="-10"/>
          <w:sz w:val="22"/>
          <w:szCs w:val="22"/>
        </w:rPr>
        <w:t>From:</w:t>
      </w:r>
      <w:r w:rsidRPr="00592819">
        <w:rPr>
          <w:b/>
          <w:spacing w:val="-5"/>
          <w:sz w:val="22"/>
          <w:szCs w:val="22"/>
        </w:rPr>
        <w:tab/>
      </w:r>
      <w:r w:rsidRPr="00592819">
        <w:rPr>
          <w:b/>
          <w:spacing w:val="-5"/>
          <w:sz w:val="22"/>
          <w:szCs w:val="22"/>
        </w:rPr>
        <w:tab/>
      </w:r>
      <w:r w:rsidRPr="00592819">
        <w:rPr>
          <w:spacing w:val="-5"/>
          <w:sz w:val="22"/>
          <w:szCs w:val="22"/>
        </w:rPr>
        <w:t>Kathryn G. Lehner, President/Superintendent</w:t>
      </w:r>
    </w:p>
    <w:p w:rsidR="00D14642" w:rsidRPr="00592819" w:rsidRDefault="00D14642" w:rsidP="00D14642">
      <w:pPr>
        <w:ind w:left="720" w:firstLine="720"/>
        <w:rPr>
          <w:spacing w:val="-5"/>
          <w:sz w:val="22"/>
          <w:szCs w:val="22"/>
        </w:rPr>
      </w:pPr>
      <w:r w:rsidRPr="00592819">
        <w:rPr>
          <w:spacing w:val="-5"/>
          <w:sz w:val="22"/>
          <w:szCs w:val="22"/>
        </w:rPr>
        <w:t>College of the Redwoods</w:t>
      </w:r>
    </w:p>
    <w:p w:rsidR="00D14642" w:rsidRPr="00592819" w:rsidRDefault="00D14642" w:rsidP="00D14642">
      <w:pPr>
        <w:ind w:left="720" w:firstLine="720"/>
        <w:rPr>
          <w:spacing w:val="-5"/>
          <w:sz w:val="22"/>
          <w:szCs w:val="22"/>
        </w:rPr>
      </w:pPr>
      <w:r w:rsidRPr="00592819">
        <w:rPr>
          <w:spacing w:val="-5"/>
          <w:sz w:val="22"/>
          <w:szCs w:val="22"/>
        </w:rPr>
        <w:t>7351 Tompkins Hill Road</w:t>
      </w:r>
    </w:p>
    <w:p w:rsidR="00D14642" w:rsidRPr="00592819" w:rsidRDefault="00D14642" w:rsidP="00D14642">
      <w:pPr>
        <w:ind w:left="720" w:firstLine="720"/>
        <w:rPr>
          <w:spacing w:val="-5"/>
          <w:sz w:val="22"/>
          <w:szCs w:val="22"/>
        </w:rPr>
      </w:pPr>
      <w:r w:rsidRPr="00592819">
        <w:rPr>
          <w:spacing w:val="-5"/>
          <w:sz w:val="22"/>
          <w:szCs w:val="22"/>
        </w:rPr>
        <w:t>Eureka, CA 95501</w:t>
      </w:r>
    </w:p>
    <w:p w:rsidR="00D14642" w:rsidRPr="00592819" w:rsidRDefault="00D14642" w:rsidP="00D14642">
      <w:pPr>
        <w:ind w:left="720" w:firstLine="720"/>
        <w:rPr>
          <w:spacing w:val="-5"/>
          <w:sz w:val="22"/>
          <w:szCs w:val="22"/>
        </w:rPr>
      </w:pPr>
    </w:p>
    <w:p w:rsidR="00D14642" w:rsidRPr="00592819" w:rsidRDefault="00D14642" w:rsidP="00D14642">
      <w:pPr>
        <w:rPr>
          <w:spacing w:val="-5"/>
          <w:sz w:val="22"/>
          <w:szCs w:val="22"/>
        </w:rPr>
      </w:pPr>
      <w:r w:rsidRPr="00592819">
        <w:rPr>
          <w:b/>
          <w:spacing w:val="-10"/>
          <w:sz w:val="22"/>
          <w:szCs w:val="22"/>
        </w:rPr>
        <w:t>Date:</w:t>
      </w:r>
      <w:r w:rsidRPr="00592819">
        <w:rPr>
          <w:b/>
          <w:spacing w:val="-5"/>
          <w:sz w:val="22"/>
          <w:szCs w:val="22"/>
        </w:rPr>
        <w:tab/>
      </w:r>
      <w:r w:rsidRPr="00592819">
        <w:rPr>
          <w:spacing w:val="-5"/>
          <w:sz w:val="22"/>
          <w:szCs w:val="22"/>
        </w:rPr>
        <w:tab/>
        <w:t>October 15, 2012</w:t>
      </w:r>
    </w:p>
    <w:p w:rsidR="00D14642" w:rsidRPr="00592819" w:rsidRDefault="00D14642" w:rsidP="00D14642">
      <w:pPr>
        <w:rPr>
          <w:spacing w:val="-5"/>
          <w:sz w:val="22"/>
          <w:szCs w:val="22"/>
        </w:rPr>
      </w:pPr>
    </w:p>
    <w:p w:rsidR="00D14642" w:rsidRPr="00592819" w:rsidRDefault="00D14642" w:rsidP="00D14642">
      <w:pPr>
        <w:pStyle w:val="Default"/>
        <w:rPr>
          <w:rFonts w:ascii="Times New Roman" w:hAnsi="Times New Roman" w:cs="Times New Roman"/>
          <w:sz w:val="22"/>
          <w:szCs w:val="22"/>
        </w:rPr>
      </w:pPr>
      <w:r w:rsidRPr="00592819">
        <w:rPr>
          <w:rFonts w:ascii="Times New Roman" w:hAnsi="Times New Roman" w:cs="Times New Roman"/>
          <w:sz w:val="22"/>
          <w:szCs w:val="22"/>
        </w:rPr>
        <w:t>This Closure Plan is submitted to accompany the Show Cause Report for College of the Redwoods. We certify that there was broad participation by representatives of the College community in the preparation of this Closure Plan.</w:t>
      </w:r>
    </w:p>
    <w:p w:rsidR="00D14642" w:rsidRPr="00592819" w:rsidRDefault="00D14642" w:rsidP="00D14642">
      <w:pPr>
        <w:pStyle w:val="Default"/>
        <w:rPr>
          <w:rFonts w:ascii="Times New Roman" w:hAnsi="Times New Roman" w:cs="Times New Roman"/>
          <w:sz w:val="22"/>
          <w:szCs w:val="22"/>
        </w:rPr>
      </w:pPr>
      <w:r w:rsidRPr="00592819">
        <w:rPr>
          <w:rFonts w:ascii="Times New Roman" w:hAnsi="Times New Roman" w:cs="Times New Roman"/>
          <w:noProof/>
          <w:sz w:val="22"/>
          <w:szCs w:val="22"/>
          <w:lang w:bidi="hi-IN"/>
        </w:rPr>
        <w:drawing>
          <wp:inline distT="0" distB="0" distL="0" distR="0">
            <wp:extent cx="1701800" cy="453390"/>
            <wp:effectExtent l="0" t="0" r="0" b="3810"/>
            <wp:docPr id="10" name="Picture 10" descr="Colleen Mullery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en Mullery si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1800" cy="453390"/>
                    </a:xfrm>
                    <a:prstGeom prst="rect">
                      <a:avLst/>
                    </a:prstGeom>
                    <a:noFill/>
                    <a:ln>
                      <a:noFill/>
                    </a:ln>
                  </pic:spPr>
                </pic:pic>
              </a:graphicData>
            </a:graphic>
          </wp:inline>
        </w:drawing>
      </w:r>
    </w:p>
    <w:p w:rsidR="00D14642" w:rsidRPr="00592819" w:rsidRDefault="00D14642" w:rsidP="00D14642">
      <w:pPr>
        <w:pStyle w:val="Default"/>
        <w:pBdr>
          <w:top w:val="single" w:sz="4" w:space="1" w:color="auto"/>
        </w:pBdr>
        <w:rPr>
          <w:rFonts w:ascii="Times New Roman" w:hAnsi="Times New Roman" w:cs="Times New Roman"/>
          <w:sz w:val="22"/>
          <w:szCs w:val="22"/>
        </w:rPr>
      </w:pPr>
      <w:r w:rsidRPr="00592819">
        <w:rPr>
          <w:rFonts w:ascii="Times New Roman" w:hAnsi="Times New Roman" w:cs="Times New Roman"/>
          <w:sz w:val="22"/>
          <w:szCs w:val="22"/>
        </w:rPr>
        <w:t>Dr. Colleen Mullery, President, Board of Trustees</w:t>
      </w:r>
      <w:r w:rsidRPr="00592819">
        <w:rPr>
          <w:rFonts w:ascii="Times New Roman" w:hAnsi="Times New Roman" w:cs="Times New Roman"/>
          <w:sz w:val="22"/>
          <w:szCs w:val="22"/>
        </w:rPr>
        <w:tab/>
      </w:r>
      <w:r w:rsidRPr="00592819">
        <w:rPr>
          <w:rFonts w:ascii="Times New Roman" w:hAnsi="Times New Roman" w:cs="Times New Roman"/>
          <w:sz w:val="22"/>
          <w:szCs w:val="22"/>
        </w:rPr>
        <w:tab/>
      </w:r>
      <w:r w:rsidRPr="00592819">
        <w:rPr>
          <w:rFonts w:ascii="Times New Roman" w:hAnsi="Times New Roman" w:cs="Times New Roman"/>
          <w:sz w:val="22"/>
          <w:szCs w:val="22"/>
        </w:rPr>
        <w:tab/>
      </w:r>
      <w:r w:rsidRPr="00592819">
        <w:rPr>
          <w:rFonts w:ascii="Times New Roman" w:hAnsi="Times New Roman" w:cs="Times New Roman"/>
          <w:sz w:val="22"/>
          <w:szCs w:val="22"/>
        </w:rPr>
        <w:tab/>
      </w:r>
      <w:r w:rsidRPr="00592819">
        <w:rPr>
          <w:rFonts w:ascii="Times New Roman" w:hAnsi="Times New Roman" w:cs="Times New Roman"/>
          <w:sz w:val="22"/>
          <w:szCs w:val="22"/>
        </w:rPr>
        <w:tab/>
        <w:t xml:space="preserve"> </w:t>
      </w:r>
    </w:p>
    <w:p w:rsidR="00D14642" w:rsidRPr="00592819" w:rsidRDefault="00D14642" w:rsidP="00D14642">
      <w:pPr>
        <w:pStyle w:val="Default"/>
        <w:rPr>
          <w:rFonts w:ascii="Times New Roman" w:hAnsi="Times New Roman" w:cs="Times New Roman"/>
          <w:sz w:val="22"/>
          <w:szCs w:val="22"/>
        </w:rPr>
      </w:pPr>
      <w:r w:rsidRPr="00592819">
        <w:rPr>
          <w:rFonts w:ascii="Times New Roman" w:hAnsi="Times New Roman" w:cs="Times New Roman"/>
          <w:noProof/>
          <w:sz w:val="22"/>
          <w:szCs w:val="22"/>
          <w:lang w:bidi="hi-IN"/>
        </w:rPr>
        <w:drawing>
          <wp:inline distT="0" distB="0" distL="0" distR="0">
            <wp:extent cx="1454785" cy="421640"/>
            <wp:effectExtent l="0" t="0" r="0" b="0"/>
            <wp:docPr id="9" name="Picture 9" descr="Kathy Lehner's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thy Lehner's si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4785" cy="421640"/>
                    </a:xfrm>
                    <a:prstGeom prst="rect">
                      <a:avLst/>
                    </a:prstGeom>
                    <a:noFill/>
                    <a:ln>
                      <a:noFill/>
                    </a:ln>
                  </pic:spPr>
                </pic:pic>
              </a:graphicData>
            </a:graphic>
          </wp:inline>
        </w:drawing>
      </w:r>
    </w:p>
    <w:p w:rsidR="00D14642" w:rsidRPr="00592819" w:rsidRDefault="00D14642" w:rsidP="00D14642">
      <w:pPr>
        <w:pStyle w:val="Default"/>
        <w:pBdr>
          <w:top w:val="single" w:sz="4" w:space="1" w:color="auto"/>
        </w:pBdr>
        <w:rPr>
          <w:rFonts w:ascii="Times New Roman" w:hAnsi="Times New Roman" w:cs="Times New Roman"/>
          <w:sz w:val="22"/>
          <w:szCs w:val="22"/>
        </w:rPr>
      </w:pPr>
      <w:r w:rsidRPr="00592819">
        <w:rPr>
          <w:rFonts w:ascii="Times New Roman" w:hAnsi="Times New Roman" w:cs="Times New Roman"/>
          <w:sz w:val="22"/>
          <w:szCs w:val="22"/>
        </w:rPr>
        <w:t>Kathryn G. Lehner, President/Superintendent</w:t>
      </w:r>
      <w:r w:rsidRPr="00592819">
        <w:rPr>
          <w:rFonts w:ascii="Times New Roman" w:hAnsi="Times New Roman" w:cs="Times New Roman"/>
          <w:sz w:val="22"/>
          <w:szCs w:val="22"/>
        </w:rPr>
        <w:tab/>
      </w:r>
      <w:r w:rsidRPr="00592819">
        <w:rPr>
          <w:rFonts w:ascii="Times New Roman" w:hAnsi="Times New Roman" w:cs="Times New Roman"/>
          <w:sz w:val="22"/>
          <w:szCs w:val="22"/>
        </w:rPr>
        <w:tab/>
      </w:r>
      <w:r w:rsidRPr="00592819">
        <w:rPr>
          <w:rFonts w:ascii="Times New Roman" w:hAnsi="Times New Roman" w:cs="Times New Roman"/>
          <w:sz w:val="22"/>
          <w:szCs w:val="22"/>
        </w:rPr>
        <w:tab/>
      </w:r>
      <w:r w:rsidRPr="00592819">
        <w:rPr>
          <w:rFonts w:ascii="Times New Roman" w:hAnsi="Times New Roman" w:cs="Times New Roman"/>
          <w:sz w:val="22"/>
          <w:szCs w:val="22"/>
        </w:rPr>
        <w:tab/>
      </w:r>
      <w:r w:rsidRPr="00592819">
        <w:rPr>
          <w:rFonts w:ascii="Times New Roman" w:hAnsi="Times New Roman" w:cs="Times New Roman"/>
          <w:sz w:val="22"/>
          <w:szCs w:val="22"/>
        </w:rPr>
        <w:tab/>
      </w:r>
      <w:r w:rsidRPr="00592819">
        <w:rPr>
          <w:rFonts w:ascii="Times New Roman" w:hAnsi="Times New Roman" w:cs="Times New Roman"/>
          <w:sz w:val="22"/>
          <w:szCs w:val="22"/>
        </w:rPr>
        <w:tab/>
        <w:t xml:space="preserve"> </w:t>
      </w:r>
    </w:p>
    <w:p w:rsidR="00D14642" w:rsidRPr="00592819" w:rsidRDefault="00D14642" w:rsidP="00D14642">
      <w:pPr>
        <w:pStyle w:val="Default"/>
        <w:rPr>
          <w:rFonts w:ascii="Times New Roman" w:hAnsi="Times New Roman" w:cs="Times New Roman"/>
          <w:sz w:val="22"/>
          <w:szCs w:val="22"/>
        </w:rPr>
      </w:pPr>
      <w:r w:rsidRPr="00592819">
        <w:rPr>
          <w:rFonts w:ascii="Times New Roman" w:hAnsi="Times New Roman" w:cs="Times New Roman"/>
          <w:noProof/>
          <w:sz w:val="22"/>
          <w:szCs w:val="22"/>
          <w:lang w:bidi="hi-IN"/>
        </w:rPr>
        <w:drawing>
          <wp:inline distT="0" distB="0" distL="0" distR="0">
            <wp:extent cx="2226310" cy="461010"/>
            <wp:effectExtent l="0" t="0" r="2540" b="0"/>
            <wp:docPr id="8" name="Picture 8" descr="Utpal Goswami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pal Goswami si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6310" cy="461010"/>
                    </a:xfrm>
                    <a:prstGeom prst="rect">
                      <a:avLst/>
                    </a:prstGeom>
                    <a:noFill/>
                    <a:ln>
                      <a:noFill/>
                    </a:ln>
                  </pic:spPr>
                </pic:pic>
              </a:graphicData>
            </a:graphic>
          </wp:inline>
        </w:drawing>
      </w:r>
    </w:p>
    <w:p w:rsidR="00D14642" w:rsidRPr="00592819" w:rsidRDefault="00D14642" w:rsidP="00D14642">
      <w:pPr>
        <w:pStyle w:val="Default"/>
        <w:pBdr>
          <w:top w:val="single" w:sz="4" w:space="1" w:color="auto"/>
        </w:pBdr>
        <w:rPr>
          <w:rFonts w:ascii="Times New Roman" w:hAnsi="Times New Roman" w:cs="Times New Roman"/>
          <w:sz w:val="22"/>
          <w:szCs w:val="22"/>
        </w:rPr>
      </w:pPr>
      <w:r w:rsidRPr="00592819">
        <w:rPr>
          <w:rFonts w:ascii="Times New Roman" w:hAnsi="Times New Roman" w:cs="Times New Roman"/>
          <w:sz w:val="22"/>
          <w:szCs w:val="22"/>
        </w:rPr>
        <w:t>Dr. Utpal K. Goswami, Vice President of Instruction/Accreditation Liaison Officer</w:t>
      </w:r>
      <w:r w:rsidRPr="00592819">
        <w:rPr>
          <w:rFonts w:ascii="Times New Roman" w:hAnsi="Times New Roman" w:cs="Times New Roman"/>
          <w:sz w:val="22"/>
          <w:szCs w:val="22"/>
        </w:rPr>
        <w:tab/>
        <w:t xml:space="preserve"> </w:t>
      </w:r>
    </w:p>
    <w:p w:rsidR="00D14642" w:rsidRPr="00592819" w:rsidRDefault="00D14642" w:rsidP="00D14642">
      <w:pPr>
        <w:pStyle w:val="Default"/>
        <w:rPr>
          <w:rFonts w:ascii="Times New Roman" w:hAnsi="Times New Roman" w:cs="Times New Roman"/>
          <w:sz w:val="22"/>
          <w:szCs w:val="22"/>
        </w:rPr>
      </w:pPr>
      <w:r w:rsidRPr="00592819">
        <w:rPr>
          <w:rFonts w:ascii="Times New Roman" w:hAnsi="Times New Roman" w:cs="Times New Roman"/>
          <w:noProof/>
          <w:sz w:val="22"/>
          <w:szCs w:val="22"/>
          <w:lang w:bidi="hi-IN"/>
        </w:rPr>
        <w:drawing>
          <wp:inline distT="0" distB="0" distL="0" distR="0">
            <wp:extent cx="2115185" cy="278130"/>
            <wp:effectExtent l="0" t="0" r="0" b="7620"/>
            <wp:docPr id="7" name="Picture 7" descr="Steven Bevier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ven Bevier si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15185" cy="278130"/>
                    </a:xfrm>
                    <a:prstGeom prst="rect">
                      <a:avLst/>
                    </a:prstGeom>
                    <a:noFill/>
                    <a:ln>
                      <a:noFill/>
                    </a:ln>
                  </pic:spPr>
                </pic:pic>
              </a:graphicData>
            </a:graphic>
          </wp:inline>
        </w:drawing>
      </w:r>
    </w:p>
    <w:p w:rsidR="00D14642" w:rsidRPr="00592819" w:rsidRDefault="00D14642" w:rsidP="00D14642">
      <w:pPr>
        <w:pStyle w:val="Default"/>
        <w:pBdr>
          <w:top w:val="single" w:sz="4" w:space="1" w:color="auto"/>
        </w:pBdr>
        <w:rPr>
          <w:rFonts w:ascii="Times New Roman" w:hAnsi="Times New Roman" w:cs="Times New Roman"/>
          <w:sz w:val="22"/>
          <w:szCs w:val="22"/>
        </w:rPr>
      </w:pPr>
      <w:r w:rsidRPr="00592819">
        <w:rPr>
          <w:rFonts w:ascii="Times New Roman" w:hAnsi="Times New Roman" w:cs="Times New Roman"/>
          <w:sz w:val="22"/>
          <w:szCs w:val="22"/>
        </w:rPr>
        <w:t>Steven Bevier, President, Associated Students, College of the Redwoods</w:t>
      </w:r>
      <w:r w:rsidRPr="00592819">
        <w:rPr>
          <w:rFonts w:ascii="Times New Roman" w:hAnsi="Times New Roman" w:cs="Times New Roman"/>
          <w:sz w:val="22"/>
          <w:szCs w:val="22"/>
        </w:rPr>
        <w:tab/>
      </w:r>
      <w:r w:rsidRPr="00592819">
        <w:rPr>
          <w:rFonts w:ascii="Times New Roman" w:hAnsi="Times New Roman" w:cs="Times New Roman"/>
          <w:sz w:val="22"/>
          <w:szCs w:val="22"/>
        </w:rPr>
        <w:tab/>
        <w:t xml:space="preserve"> </w:t>
      </w:r>
    </w:p>
    <w:p w:rsidR="00D14642" w:rsidRPr="00592819" w:rsidRDefault="00D14642" w:rsidP="00D14642">
      <w:pPr>
        <w:pStyle w:val="Default"/>
        <w:rPr>
          <w:rFonts w:ascii="Times New Roman" w:hAnsi="Times New Roman" w:cs="Times New Roman"/>
          <w:sz w:val="22"/>
          <w:szCs w:val="22"/>
        </w:rPr>
      </w:pPr>
      <w:r w:rsidRPr="00592819">
        <w:rPr>
          <w:rFonts w:ascii="Times New Roman" w:hAnsi="Times New Roman" w:cs="Times New Roman"/>
          <w:noProof/>
          <w:sz w:val="22"/>
          <w:szCs w:val="22"/>
          <w:lang w:bidi="hi-IN"/>
        </w:rPr>
        <w:drawing>
          <wp:inline distT="0" distB="0" distL="0" distR="0">
            <wp:extent cx="1701800" cy="445135"/>
            <wp:effectExtent l="0" t="0" r="0" b="0"/>
            <wp:docPr id="6" name="Picture 6" descr="Mike Richards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ke Richards si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1800" cy="445135"/>
                    </a:xfrm>
                    <a:prstGeom prst="rect">
                      <a:avLst/>
                    </a:prstGeom>
                    <a:noFill/>
                    <a:ln>
                      <a:noFill/>
                    </a:ln>
                  </pic:spPr>
                </pic:pic>
              </a:graphicData>
            </a:graphic>
          </wp:inline>
        </w:drawing>
      </w:r>
    </w:p>
    <w:p w:rsidR="00D14642" w:rsidRPr="00592819" w:rsidRDefault="00D14642" w:rsidP="00D14642">
      <w:pPr>
        <w:pStyle w:val="Default"/>
        <w:pBdr>
          <w:top w:val="single" w:sz="4" w:space="1" w:color="auto"/>
        </w:pBdr>
        <w:rPr>
          <w:rFonts w:ascii="Times New Roman" w:hAnsi="Times New Roman" w:cs="Times New Roman"/>
          <w:sz w:val="22"/>
          <w:szCs w:val="22"/>
        </w:rPr>
      </w:pPr>
      <w:r w:rsidRPr="00592819">
        <w:rPr>
          <w:rFonts w:ascii="Times New Roman" w:hAnsi="Times New Roman" w:cs="Times New Roman"/>
          <w:sz w:val="22"/>
          <w:szCs w:val="22"/>
        </w:rPr>
        <w:t>Michael Richards, Co-President, Academic Senate</w:t>
      </w:r>
      <w:r w:rsidRPr="00592819">
        <w:rPr>
          <w:rFonts w:ascii="Times New Roman" w:hAnsi="Times New Roman" w:cs="Times New Roman"/>
          <w:sz w:val="22"/>
          <w:szCs w:val="22"/>
        </w:rPr>
        <w:tab/>
      </w:r>
      <w:r w:rsidRPr="00592819">
        <w:rPr>
          <w:rFonts w:ascii="Times New Roman" w:hAnsi="Times New Roman" w:cs="Times New Roman"/>
          <w:sz w:val="22"/>
          <w:szCs w:val="22"/>
        </w:rPr>
        <w:tab/>
      </w:r>
      <w:r w:rsidRPr="00592819">
        <w:rPr>
          <w:rFonts w:ascii="Times New Roman" w:hAnsi="Times New Roman" w:cs="Times New Roman"/>
          <w:sz w:val="22"/>
          <w:szCs w:val="22"/>
        </w:rPr>
        <w:tab/>
      </w:r>
      <w:r w:rsidRPr="00592819">
        <w:rPr>
          <w:rFonts w:ascii="Times New Roman" w:hAnsi="Times New Roman" w:cs="Times New Roman"/>
          <w:sz w:val="22"/>
          <w:szCs w:val="22"/>
        </w:rPr>
        <w:tab/>
      </w:r>
      <w:r w:rsidRPr="00592819">
        <w:rPr>
          <w:rFonts w:ascii="Times New Roman" w:hAnsi="Times New Roman" w:cs="Times New Roman"/>
          <w:sz w:val="22"/>
          <w:szCs w:val="22"/>
        </w:rPr>
        <w:tab/>
        <w:t xml:space="preserve"> </w:t>
      </w:r>
    </w:p>
    <w:p w:rsidR="00D14642" w:rsidRPr="00592819" w:rsidRDefault="00D14642" w:rsidP="00D14642">
      <w:pPr>
        <w:pStyle w:val="Default"/>
        <w:rPr>
          <w:rFonts w:ascii="Times New Roman" w:hAnsi="Times New Roman" w:cs="Times New Roman"/>
          <w:sz w:val="22"/>
          <w:szCs w:val="22"/>
        </w:rPr>
      </w:pPr>
      <w:r w:rsidRPr="00592819">
        <w:rPr>
          <w:rFonts w:ascii="Times New Roman" w:hAnsi="Times New Roman" w:cs="Times New Roman"/>
          <w:noProof/>
          <w:sz w:val="22"/>
          <w:szCs w:val="22"/>
          <w:lang w:bidi="hi-IN"/>
        </w:rPr>
        <w:drawing>
          <wp:inline distT="0" distB="0" distL="0" distR="0">
            <wp:extent cx="1812925" cy="469265"/>
            <wp:effectExtent l="0" t="0" r="0" b="6985"/>
            <wp:docPr id="5" name="Picture 5" descr="Bob Brown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b Brown si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2925" cy="469265"/>
                    </a:xfrm>
                    <a:prstGeom prst="rect">
                      <a:avLst/>
                    </a:prstGeom>
                    <a:noFill/>
                    <a:ln>
                      <a:noFill/>
                    </a:ln>
                  </pic:spPr>
                </pic:pic>
              </a:graphicData>
            </a:graphic>
          </wp:inline>
        </w:drawing>
      </w:r>
    </w:p>
    <w:p w:rsidR="00D14642" w:rsidRPr="00592819" w:rsidRDefault="00D14642" w:rsidP="00D14642">
      <w:pPr>
        <w:pStyle w:val="Default"/>
        <w:pBdr>
          <w:top w:val="single" w:sz="4" w:space="1" w:color="auto"/>
        </w:pBdr>
        <w:rPr>
          <w:rFonts w:ascii="Times New Roman" w:hAnsi="Times New Roman" w:cs="Times New Roman"/>
          <w:sz w:val="22"/>
          <w:szCs w:val="22"/>
        </w:rPr>
      </w:pPr>
      <w:r w:rsidRPr="00592819">
        <w:rPr>
          <w:rFonts w:ascii="Times New Roman" w:hAnsi="Times New Roman" w:cs="Times New Roman"/>
          <w:sz w:val="22"/>
          <w:szCs w:val="22"/>
        </w:rPr>
        <w:t>Bob Brown, Co-President, Academic Senate</w:t>
      </w:r>
      <w:r w:rsidRPr="00592819">
        <w:rPr>
          <w:rFonts w:ascii="Times New Roman" w:hAnsi="Times New Roman" w:cs="Times New Roman"/>
          <w:sz w:val="22"/>
          <w:szCs w:val="22"/>
        </w:rPr>
        <w:tab/>
      </w:r>
      <w:r w:rsidRPr="00592819">
        <w:rPr>
          <w:rFonts w:ascii="Times New Roman" w:hAnsi="Times New Roman" w:cs="Times New Roman"/>
          <w:sz w:val="22"/>
          <w:szCs w:val="22"/>
        </w:rPr>
        <w:tab/>
      </w:r>
      <w:r w:rsidRPr="00592819">
        <w:rPr>
          <w:rFonts w:ascii="Times New Roman" w:hAnsi="Times New Roman" w:cs="Times New Roman"/>
          <w:sz w:val="22"/>
          <w:szCs w:val="22"/>
        </w:rPr>
        <w:tab/>
      </w:r>
      <w:r w:rsidRPr="00592819">
        <w:rPr>
          <w:rFonts w:ascii="Times New Roman" w:hAnsi="Times New Roman" w:cs="Times New Roman"/>
          <w:sz w:val="22"/>
          <w:szCs w:val="22"/>
        </w:rPr>
        <w:tab/>
      </w:r>
      <w:r w:rsidRPr="00592819">
        <w:rPr>
          <w:rFonts w:ascii="Times New Roman" w:hAnsi="Times New Roman" w:cs="Times New Roman"/>
          <w:sz w:val="22"/>
          <w:szCs w:val="22"/>
        </w:rPr>
        <w:tab/>
      </w:r>
      <w:r w:rsidRPr="00592819">
        <w:rPr>
          <w:rFonts w:ascii="Times New Roman" w:hAnsi="Times New Roman" w:cs="Times New Roman"/>
          <w:sz w:val="22"/>
          <w:szCs w:val="22"/>
        </w:rPr>
        <w:tab/>
        <w:t xml:space="preserve"> </w:t>
      </w:r>
      <w:r w:rsidRPr="00592819">
        <w:rPr>
          <w:rFonts w:ascii="Times New Roman" w:hAnsi="Times New Roman" w:cs="Times New Roman"/>
          <w:sz w:val="22"/>
          <w:szCs w:val="22"/>
        </w:rPr>
        <w:tab/>
      </w:r>
    </w:p>
    <w:p w:rsidR="00D14642" w:rsidRPr="00592819" w:rsidRDefault="00D14642" w:rsidP="00D14642">
      <w:pPr>
        <w:pStyle w:val="Default"/>
        <w:rPr>
          <w:rFonts w:ascii="Times New Roman" w:hAnsi="Times New Roman" w:cs="Times New Roman"/>
          <w:sz w:val="22"/>
          <w:szCs w:val="22"/>
        </w:rPr>
      </w:pPr>
      <w:r w:rsidRPr="00592819">
        <w:rPr>
          <w:rFonts w:ascii="Times New Roman" w:hAnsi="Times New Roman" w:cs="Times New Roman"/>
          <w:noProof/>
          <w:sz w:val="22"/>
          <w:szCs w:val="22"/>
          <w:lang w:bidi="hi-IN"/>
        </w:rPr>
        <w:drawing>
          <wp:inline distT="0" distB="0" distL="0" distR="0">
            <wp:extent cx="1979930" cy="532765"/>
            <wp:effectExtent l="0" t="0" r="1270" b="635"/>
            <wp:docPr id="4" name="Picture 4" descr="Kerry Mayer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rry Mayer si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79930" cy="532765"/>
                    </a:xfrm>
                    <a:prstGeom prst="rect">
                      <a:avLst/>
                    </a:prstGeom>
                    <a:noFill/>
                    <a:ln>
                      <a:noFill/>
                    </a:ln>
                  </pic:spPr>
                </pic:pic>
              </a:graphicData>
            </a:graphic>
          </wp:inline>
        </w:drawing>
      </w:r>
    </w:p>
    <w:p w:rsidR="00D14642" w:rsidRPr="00592819" w:rsidRDefault="00D14642" w:rsidP="00D14642">
      <w:pPr>
        <w:pStyle w:val="Default"/>
        <w:pBdr>
          <w:top w:val="single" w:sz="4" w:space="1" w:color="auto"/>
        </w:pBdr>
        <w:rPr>
          <w:rFonts w:ascii="Times New Roman" w:hAnsi="Times New Roman" w:cs="Times New Roman"/>
          <w:sz w:val="22"/>
          <w:szCs w:val="22"/>
        </w:rPr>
      </w:pPr>
      <w:r w:rsidRPr="00592819">
        <w:rPr>
          <w:rFonts w:ascii="Times New Roman" w:hAnsi="Times New Roman" w:cs="Times New Roman"/>
          <w:sz w:val="22"/>
          <w:szCs w:val="22"/>
        </w:rPr>
        <w:t>Kerry Mayer, President, College of the Redwoods Faculty Organization</w:t>
      </w:r>
      <w:r w:rsidRPr="00592819">
        <w:rPr>
          <w:rFonts w:ascii="Times New Roman" w:hAnsi="Times New Roman" w:cs="Times New Roman"/>
          <w:sz w:val="22"/>
          <w:szCs w:val="22"/>
        </w:rPr>
        <w:tab/>
      </w:r>
      <w:r w:rsidRPr="00592819">
        <w:rPr>
          <w:rFonts w:ascii="Times New Roman" w:hAnsi="Times New Roman" w:cs="Times New Roman"/>
          <w:sz w:val="22"/>
          <w:szCs w:val="22"/>
        </w:rPr>
        <w:tab/>
      </w:r>
      <w:r w:rsidRPr="00592819">
        <w:rPr>
          <w:rFonts w:ascii="Times New Roman" w:hAnsi="Times New Roman" w:cs="Times New Roman"/>
          <w:sz w:val="22"/>
          <w:szCs w:val="22"/>
        </w:rPr>
        <w:tab/>
      </w:r>
    </w:p>
    <w:p w:rsidR="00D14642" w:rsidRPr="00592819" w:rsidRDefault="00D14642" w:rsidP="00D14642">
      <w:pPr>
        <w:pStyle w:val="Default"/>
        <w:rPr>
          <w:rFonts w:ascii="Times New Roman" w:hAnsi="Times New Roman" w:cs="Times New Roman"/>
          <w:sz w:val="22"/>
          <w:szCs w:val="22"/>
        </w:rPr>
      </w:pPr>
      <w:r w:rsidRPr="00592819">
        <w:rPr>
          <w:rFonts w:ascii="Times New Roman" w:hAnsi="Times New Roman" w:cs="Times New Roman"/>
          <w:noProof/>
          <w:sz w:val="22"/>
          <w:szCs w:val="22"/>
          <w:lang w:bidi="hi-IN"/>
        </w:rPr>
        <w:drawing>
          <wp:inline distT="0" distB="0" distL="0" distR="0">
            <wp:extent cx="1614170" cy="588645"/>
            <wp:effectExtent l="0" t="0" r="5080" b="1905"/>
            <wp:docPr id="3" name="Picture 3" descr="Thomas Oliveras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omas Oliveras si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4170" cy="588645"/>
                    </a:xfrm>
                    <a:prstGeom prst="rect">
                      <a:avLst/>
                    </a:prstGeom>
                    <a:noFill/>
                    <a:ln>
                      <a:noFill/>
                    </a:ln>
                  </pic:spPr>
                </pic:pic>
              </a:graphicData>
            </a:graphic>
          </wp:inline>
        </w:drawing>
      </w:r>
    </w:p>
    <w:p w:rsidR="00D14642" w:rsidRPr="00592819" w:rsidRDefault="00D14642" w:rsidP="00D14642">
      <w:pPr>
        <w:pStyle w:val="Default"/>
        <w:pBdr>
          <w:top w:val="single" w:sz="4" w:space="1" w:color="auto"/>
        </w:pBdr>
        <w:rPr>
          <w:rFonts w:ascii="Times New Roman" w:hAnsi="Times New Roman" w:cs="Times New Roman"/>
          <w:sz w:val="22"/>
          <w:szCs w:val="22"/>
        </w:rPr>
      </w:pPr>
      <w:r w:rsidRPr="00592819">
        <w:rPr>
          <w:rFonts w:ascii="Times New Roman" w:hAnsi="Times New Roman" w:cs="Times New Roman"/>
          <w:sz w:val="22"/>
          <w:szCs w:val="22"/>
        </w:rPr>
        <w:t xml:space="preserve">Thomas Olivares, President, California School Employees’ Assc., Local #509   </w:t>
      </w:r>
      <w:r w:rsidRPr="00592819">
        <w:rPr>
          <w:rFonts w:ascii="Times New Roman" w:hAnsi="Times New Roman" w:cs="Times New Roman"/>
          <w:sz w:val="22"/>
          <w:szCs w:val="22"/>
        </w:rPr>
        <w:tab/>
        <w:t xml:space="preserve"> </w:t>
      </w:r>
    </w:p>
    <w:p w:rsidR="00D14642" w:rsidRPr="00592819" w:rsidRDefault="00D14642" w:rsidP="00D14642">
      <w:pPr>
        <w:pStyle w:val="Default"/>
        <w:rPr>
          <w:rFonts w:ascii="Times New Roman" w:hAnsi="Times New Roman" w:cs="Times New Roman"/>
          <w:sz w:val="22"/>
          <w:szCs w:val="22"/>
        </w:rPr>
      </w:pPr>
      <w:r w:rsidRPr="00592819">
        <w:rPr>
          <w:rFonts w:ascii="Times New Roman" w:hAnsi="Times New Roman" w:cs="Times New Roman"/>
          <w:noProof/>
          <w:sz w:val="22"/>
          <w:szCs w:val="22"/>
          <w:lang w:bidi="hi-IN"/>
        </w:rPr>
        <w:drawing>
          <wp:inline distT="0" distB="0" distL="0" distR="0">
            <wp:extent cx="1701800" cy="556895"/>
            <wp:effectExtent l="0" t="0" r="0" b="0"/>
            <wp:docPr id="2" name="Picture 2" descr="MaryGrace McGovern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yGrace McGovern si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01800" cy="556895"/>
                    </a:xfrm>
                    <a:prstGeom prst="rect">
                      <a:avLst/>
                    </a:prstGeom>
                    <a:noFill/>
                    <a:ln>
                      <a:noFill/>
                    </a:ln>
                  </pic:spPr>
                </pic:pic>
              </a:graphicData>
            </a:graphic>
          </wp:inline>
        </w:drawing>
      </w:r>
    </w:p>
    <w:p w:rsidR="00D14642" w:rsidRPr="00592819" w:rsidRDefault="00D14642" w:rsidP="00D14642">
      <w:pPr>
        <w:pStyle w:val="Default"/>
        <w:pBdr>
          <w:top w:val="single" w:sz="4" w:space="1" w:color="auto"/>
        </w:pBdr>
        <w:rPr>
          <w:rFonts w:ascii="Times New Roman" w:hAnsi="Times New Roman" w:cs="Times New Roman"/>
          <w:sz w:val="22"/>
          <w:szCs w:val="22"/>
        </w:rPr>
      </w:pPr>
      <w:r w:rsidRPr="00592819">
        <w:rPr>
          <w:rFonts w:ascii="Times New Roman" w:hAnsi="Times New Roman" w:cs="Times New Roman"/>
          <w:sz w:val="22"/>
          <w:szCs w:val="22"/>
        </w:rPr>
        <w:t>MaryGrace McGovern, President, Managers’ Council</w:t>
      </w:r>
      <w:r w:rsidRPr="00592819">
        <w:rPr>
          <w:rFonts w:ascii="Times New Roman" w:hAnsi="Times New Roman" w:cs="Times New Roman"/>
          <w:sz w:val="22"/>
          <w:szCs w:val="22"/>
        </w:rPr>
        <w:tab/>
      </w:r>
      <w:r w:rsidRPr="00592819">
        <w:rPr>
          <w:rFonts w:ascii="Times New Roman" w:hAnsi="Times New Roman" w:cs="Times New Roman"/>
          <w:sz w:val="22"/>
          <w:szCs w:val="22"/>
        </w:rPr>
        <w:tab/>
      </w:r>
      <w:r w:rsidRPr="00592819">
        <w:rPr>
          <w:rFonts w:ascii="Times New Roman" w:hAnsi="Times New Roman" w:cs="Times New Roman"/>
          <w:sz w:val="22"/>
          <w:szCs w:val="22"/>
        </w:rPr>
        <w:tab/>
      </w:r>
      <w:r w:rsidRPr="00592819">
        <w:rPr>
          <w:rFonts w:ascii="Times New Roman" w:hAnsi="Times New Roman" w:cs="Times New Roman"/>
          <w:sz w:val="22"/>
          <w:szCs w:val="22"/>
        </w:rPr>
        <w:tab/>
      </w:r>
      <w:r w:rsidRPr="00592819">
        <w:rPr>
          <w:rFonts w:ascii="Times New Roman" w:hAnsi="Times New Roman" w:cs="Times New Roman"/>
          <w:sz w:val="22"/>
          <w:szCs w:val="22"/>
        </w:rPr>
        <w:tab/>
        <w:t xml:space="preserve"> </w:t>
      </w:r>
    </w:p>
    <w:p w:rsidR="00D14642" w:rsidRDefault="00D14642" w:rsidP="00B96A1A">
      <w:pPr>
        <w:outlineLvl w:val="0"/>
        <w:rPr>
          <w:b/>
          <w:sz w:val="28"/>
          <w:szCs w:val="28"/>
        </w:rPr>
      </w:pPr>
    </w:p>
    <w:p w:rsidR="00D14642" w:rsidRDefault="00D14642">
      <w:pPr>
        <w:rPr>
          <w:b/>
          <w:sz w:val="28"/>
          <w:szCs w:val="28"/>
        </w:rPr>
      </w:pPr>
      <w:r>
        <w:rPr>
          <w:b/>
          <w:sz w:val="28"/>
          <w:szCs w:val="28"/>
        </w:rPr>
        <w:lastRenderedPageBreak/>
        <w:br w:type="page"/>
      </w:r>
    </w:p>
    <w:p w:rsidR="00F917B3" w:rsidRPr="008B4C29" w:rsidRDefault="00862B58" w:rsidP="008B4C29">
      <w:pPr>
        <w:pStyle w:val="Heading1"/>
      </w:pPr>
      <w:r w:rsidRPr="008B4C29">
        <w:lastRenderedPageBreak/>
        <w:t>College</w:t>
      </w:r>
      <w:r w:rsidR="00087E7E" w:rsidRPr="008B4C29">
        <w:t xml:space="preserve"> of the Redwoods</w:t>
      </w:r>
      <w:r w:rsidR="00C67106" w:rsidRPr="008B4C29">
        <w:t xml:space="preserve"> </w:t>
      </w:r>
      <w:r w:rsidR="000D273F" w:rsidRPr="008B4C29">
        <w:t>Closure</w:t>
      </w:r>
      <w:r w:rsidR="00C67106" w:rsidRPr="008B4C29">
        <w:t xml:space="preserve"> Plan</w:t>
      </w:r>
    </w:p>
    <w:p w:rsidR="00C67106" w:rsidRPr="00C17D9E" w:rsidRDefault="00C67106" w:rsidP="00B96A1A"/>
    <w:p w:rsidR="007D67A3" w:rsidRPr="008B4C29" w:rsidRDefault="000D273F" w:rsidP="00B96A1A">
      <w:pPr>
        <w:outlineLvl w:val="0"/>
        <w:rPr>
          <w:rStyle w:val="Strong"/>
        </w:rPr>
      </w:pPr>
      <w:r w:rsidRPr="008B4C29">
        <w:rPr>
          <w:rStyle w:val="Strong"/>
        </w:rPr>
        <w:t>Background</w:t>
      </w:r>
    </w:p>
    <w:p w:rsidR="008605F7" w:rsidRPr="00C17D9E" w:rsidRDefault="008605F7" w:rsidP="00B96A1A">
      <w:pPr>
        <w:outlineLvl w:val="0"/>
        <w:rPr>
          <w:b/>
        </w:rPr>
      </w:pPr>
    </w:p>
    <w:p w:rsidR="005640F1" w:rsidRPr="00C17D9E" w:rsidRDefault="00087E7E" w:rsidP="00B96A1A">
      <w:r w:rsidRPr="00C17D9E">
        <w:t>On January 10-11, 2012</w:t>
      </w:r>
      <w:r w:rsidR="003B535D" w:rsidRPr="00C17D9E">
        <w:t>,</w:t>
      </w:r>
      <w:r w:rsidR="00C67106" w:rsidRPr="00C17D9E">
        <w:t xml:space="preserve"> the Western Association </w:t>
      </w:r>
      <w:r w:rsidR="00691DB4" w:rsidRPr="00C17D9E">
        <w:t xml:space="preserve">of Schools and </w:t>
      </w:r>
      <w:r w:rsidR="00862B58">
        <w:t>College</w:t>
      </w:r>
      <w:r w:rsidR="00691DB4" w:rsidRPr="00C17D9E">
        <w:t xml:space="preserve">s (WASC) via the Accrediting </w:t>
      </w:r>
      <w:r w:rsidR="00BD3681">
        <w:t>Commission</w:t>
      </w:r>
      <w:r w:rsidR="00C67106" w:rsidRPr="00C17D9E">
        <w:t xml:space="preserve"> </w:t>
      </w:r>
      <w:r w:rsidR="00691DB4" w:rsidRPr="00C17D9E">
        <w:t xml:space="preserve">for Community and Junior </w:t>
      </w:r>
      <w:r w:rsidR="00862B58">
        <w:t>College</w:t>
      </w:r>
      <w:r w:rsidR="00691DB4" w:rsidRPr="00C17D9E">
        <w:t xml:space="preserve">s (ACCJC) </w:t>
      </w:r>
      <w:r w:rsidRPr="00C17D9E">
        <w:t xml:space="preserve">notified in writing that </w:t>
      </w:r>
      <w:r w:rsidR="00862B58">
        <w:t>College</w:t>
      </w:r>
      <w:r w:rsidRPr="00C17D9E">
        <w:t xml:space="preserve"> of the Redwoods</w:t>
      </w:r>
      <w:r w:rsidR="00C67106" w:rsidRPr="00C17D9E">
        <w:t xml:space="preserve"> </w:t>
      </w:r>
      <w:r w:rsidR="00341F77">
        <w:t xml:space="preserve">(CR) </w:t>
      </w:r>
      <w:r w:rsidR="00516530" w:rsidRPr="00C17D9E">
        <w:t xml:space="preserve">had been placed on </w:t>
      </w:r>
      <w:r w:rsidRPr="00341F77">
        <w:t>Show Cause</w:t>
      </w:r>
      <w:r w:rsidR="00C54570" w:rsidRPr="00C17D9E">
        <w:t xml:space="preserve">. </w:t>
      </w:r>
      <w:r w:rsidR="00516530" w:rsidRPr="00C17D9E">
        <w:t xml:space="preserve"> At i</w:t>
      </w:r>
      <w:r w:rsidRPr="00C17D9E">
        <w:t>ts meeting on January 10-11</w:t>
      </w:r>
      <w:r w:rsidR="00516530" w:rsidRPr="00C17D9E">
        <w:t xml:space="preserve">, </w:t>
      </w:r>
      <w:r w:rsidRPr="00C17D9E">
        <w:t xml:space="preserve">2012, </w:t>
      </w:r>
      <w:r w:rsidR="00516530" w:rsidRPr="00C17D9E">
        <w:t xml:space="preserve">ACCJC reviewed </w:t>
      </w:r>
      <w:r w:rsidRPr="00C17D9E">
        <w:t xml:space="preserve">the institutional </w:t>
      </w:r>
      <w:r w:rsidR="00341F77">
        <w:t xml:space="preserve">CR </w:t>
      </w:r>
      <w:r w:rsidRPr="00C17D9E">
        <w:t xml:space="preserve">Self Study Report and the report of the evaluation team which visited </w:t>
      </w:r>
      <w:r w:rsidR="00862B58">
        <w:t>College</w:t>
      </w:r>
      <w:r w:rsidRPr="00C17D9E">
        <w:t xml:space="preserve"> of the Redwoods Monday, October 17, - Thursday, October 20, 2011.  The </w:t>
      </w:r>
      <w:r w:rsidR="00BD3681">
        <w:t>Commission</w:t>
      </w:r>
      <w:r w:rsidRPr="00C17D9E">
        <w:t xml:space="preserve"> also heard testimony </w:t>
      </w:r>
      <w:r w:rsidR="0010781F" w:rsidRPr="00C17D9E">
        <w:t xml:space="preserve">at their January 10-11, 2012 meeting </w:t>
      </w:r>
      <w:r w:rsidRPr="00C17D9E">
        <w:t xml:space="preserve">presented by </w:t>
      </w:r>
      <w:r w:rsidR="0010781F" w:rsidRPr="00C17D9E">
        <w:t xml:space="preserve">then </w:t>
      </w:r>
      <w:r w:rsidR="00DB124C" w:rsidRPr="00C17D9E">
        <w:rPr>
          <w:color w:val="000000" w:themeColor="text1"/>
        </w:rPr>
        <w:t>Interim</w:t>
      </w:r>
      <w:r w:rsidR="00DB124C" w:rsidRPr="00C17D9E">
        <w:t xml:space="preserve"> </w:t>
      </w:r>
      <w:r w:rsidRPr="00C17D9E">
        <w:t>President</w:t>
      </w:r>
      <w:r w:rsidR="00341F77">
        <w:t>/Superintendent</w:t>
      </w:r>
      <w:r w:rsidRPr="00C17D9E">
        <w:t xml:space="preserve"> Utpal</w:t>
      </w:r>
      <w:r w:rsidR="00D445B6">
        <w:t> </w:t>
      </w:r>
      <w:r w:rsidR="00341F77">
        <w:t>K.</w:t>
      </w:r>
      <w:r w:rsidRPr="00C17D9E">
        <w:t xml:space="preserve"> Goswami</w:t>
      </w:r>
      <w:r w:rsidR="00B65BA4" w:rsidRPr="00C17D9E">
        <w:t>.</w:t>
      </w:r>
    </w:p>
    <w:p w:rsidR="00B65BA4" w:rsidRPr="00C17D9E" w:rsidRDefault="00B65BA4" w:rsidP="00B96A1A"/>
    <w:p w:rsidR="00B65BA4" w:rsidRPr="00C17D9E" w:rsidRDefault="00B65BA4" w:rsidP="00B96A1A">
      <w:r w:rsidRPr="00C17D9E">
        <w:t xml:space="preserve">The </w:t>
      </w:r>
      <w:r w:rsidR="00BD3681">
        <w:t>Commission</w:t>
      </w:r>
      <w:r w:rsidRPr="00C17D9E">
        <w:t xml:space="preserve"> acted to place </w:t>
      </w:r>
      <w:r w:rsidR="00341F77">
        <w:t>CR</w:t>
      </w:r>
      <w:r w:rsidRPr="00C17D9E">
        <w:t xml:space="preserve"> on </w:t>
      </w:r>
      <w:r w:rsidRPr="00341F77">
        <w:t>Show Cause</w:t>
      </w:r>
      <w:r w:rsidRPr="00C17D9E">
        <w:rPr>
          <w:b/>
        </w:rPr>
        <w:t xml:space="preserve"> </w:t>
      </w:r>
      <w:r w:rsidRPr="00C17D9E">
        <w:t xml:space="preserve">and to require that </w:t>
      </w:r>
      <w:r w:rsidR="008867A9" w:rsidRPr="00C17D9E">
        <w:t>t</w:t>
      </w:r>
      <w:r w:rsidRPr="00C17D9E">
        <w:t xml:space="preserve">he </w:t>
      </w:r>
      <w:r w:rsidR="00862B58">
        <w:t>College</w:t>
      </w:r>
      <w:r w:rsidRPr="00C17D9E">
        <w:t xml:space="preserve"> submit a Show Cause Report by October 15, 2012.</w:t>
      </w:r>
      <w:r w:rsidRPr="00C17D9E">
        <w:rPr>
          <w:b/>
        </w:rPr>
        <w:t xml:space="preserve">  </w:t>
      </w:r>
      <w:r w:rsidRPr="00C17D9E">
        <w:t xml:space="preserve">This report will be followed by a visit of </w:t>
      </w:r>
      <w:r w:rsidR="00BD3681">
        <w:t>Commission</w:t>
      </w:r>
      <w:r w:rsidRPr="00C17D9E">
        <w:t xml:space="preserve"> representatives.  </w:t>
      </w:r>
    </w:p>
    <w:p w:rsidR="005640F1" w:rsidRPr="00C17D9E" w:rsidRDefault="005640F1" w:rsidP="00B96A1A"/>
    <w:p w:rsidR="007D50DF" w:rsidRPr="00C17D9E" w:rsidRDefault="00721069" w:rsidP="00B96A1A">
      <w:r w:rsidRPr="00341F77">
        <w:t>Show Cause</w:t>
      </w:r>
      <w:r w:rsidRPr="00C17D9E">
        <w:rPr>
          <w:b/>
          <w:i/>
        </w:rPr>
        <w:t xml:space="preserve"> </w:t>
      </w:r>
      <w:r w:rsidRPr="00C17D9E">
        <w:t>is issued when</w:t>
      </w:r>
      <w:r w:rsidR="007D50DF" w:rsidRPr="00C17D9E">
        <w:t xml:space="preserve"> the </w:t>
      </w:r>
      <w:r w:rsidR="00BD3681">
        <w:t>Commission</w:t>
      </w:r>
      <w:r w:rsidR="007D50DF" w:rsidRPr="00C17D9E">
        <w:t xml:space="preserve"> finds an institution in substantial non-compliance with the </w:t>
      </w:r>
      <w:r w:rsidR="00BD3681">
        <w:t>Commission</w:t>
      </w:r>
      <w:r w:rsidR="007D50DF" w:rsidRPr="00C17D9E">
        <w:t>’s Eligibility Requirements, Accre</w:t>
      </w:r>
      <w:r w:rsidR="00B65BA4" w:rsidRPr="00C17D9E">
        <w:t xml:space="preserve">ditation Standards, or policies, or when the institution has not responded to the conditions imposed by the </w:t>
      </w:r>
      <w:r w:rsidR="00BD3681">
        <w:t>Commission</w:t>
      </w:r>
      <w:r w:rsidR="00B65BA4" w:rsidRPr="00C17D9E">
        <w:t xml:space="preserve">.  The </w:t>
      </w:r>
      <w:r w:rsidR="00BD3681">
        <w:t>Commission</w:t>
      </w:r>
      <w:r w:rsidR="00B65BA4" w:rsidRPr="00C17D9E">
        <w:t xml:space="preserve"> </w:t>
      </w:r>
      <w:r w:rsidR="00861AF4" w:rsidRPr="00C17D9E">
        <w:t>is</w:t>
      </w:r>
      <w:r w:rsidR="008867A9" w:rsidRPr="00C17D9E">
        <w:t xml:space="preserve"> </w:t>
      </w:r>
      <w:r w:rsidR="00B65BA4" w:rsidRPr="00C17D9E">
        <w:t>requir</w:t>
      </w:r>
      <w:r w:rsidR="00861AF4" w:rsidRPr="00C17D9E">
        <w:t>ing</w:t>
      </w:r>
      <w:r w:rsidR="00B65BA4" w:rsidRPr="00C17D9E">
        <w:t xml:space="preserve"> </w:t>
      </w:r>
      <w:r w:rsidR="00861AF4" w:rsidRPr="00C17D9E">
        <w:t>CR</w:t>
      </w:r>
      <w:r w:rsidR="00642029" w:rsidRPr="00C17D9E">
        <w:t xml:space="preserve"> </w:t>
      </w:r>
      <w:r w:rsidR="00B65BA4" w:rsidRPr="00C17D9E">
        <w:t xml:space="preserve">to </w:t>
      </w:r>
      <w:r w:rsidR="00581CA9">
        <w:t>Show C</w:t>
      </w:r>
      <w:r w:rsidR="008867A9" w:rsidRPr="00581CA9">
        <w:t>ause</w:t>
      </w:r>
      <w:r w:rsidR="008867A9" w:rsidRPr="00C17D9E">
        <w:t xml:space="preserve"> </w:t>
      </w:r>
      <w:r w:rsidR="00341F77">
        <w:t xml:space="preserve">as to </w:t>
      </w:r>
      <w:r w:rsidR="00B65BA4" w:rsidRPr="00C17D9E">
        <w:t xml:space="preserve">why its accreditation should not be withdrawn.  </w:t>
      </w:r>
      <w:r w:rsidR="00341F77">
        <w:t>CR</w:t>
      </w:r>
      <w:r w:rsidR="00B65BA4" w:rsidRPr="00C17D9E">
        <w:t xml:space="preserve"> must demonstrate through evidence that it has corrected the deficiencies noted by the </w:t>
      </w:r>
      <w:r w:rsidR="00BD3681">
        <w:t>Commission</w:t>
      </w:r>
      <w:r w:rsidR="00B65BA4" w:rsidRPr="00C17D9E">
        <w:t xml:space="preserve"> and is in compliance with the Eligibility Requirements, Accreditation Standards, and </w:t>
      </w:r>
      <w:r w:rsidR="00BD3681">
        <w:t>Commission</w:t>
      </w:r>
      <w:r w:rsidR="00B65BA4" w:rsidRPr="00C17D9E">
        <w:t xml:space="preserve"> Policies.</w:t>
      </w:r>
      <w:r w:rsidR="007D50DF" w:rsidRPr="00C17D9E">
        <w:t xml:space="preserve"> The burden of proof will rest on the institution to demonstrate why its accreditation should be continued.  During the </w:t>
      </w:r>
      <w:r w:rsidR="00861AF4" w:rsidRPr="00C17D9E">
        <w:t xml:space="preserve">Show Cause </w:t>
      </w:r>
      <w:r w:rsidR="007D50DF" w:rsidRPr="00C17D9E">
        <w:t xml:space="preserve">period, the institution must make preparations for </w:t>
      </w:r>
      <w:r w:rsidR="00590089" w:rsidRPr="00C17D9E">
        <w:t>closure</w:t>
      </w:r>
      <w:r w:rsidR="007D50DF" w:rsidRPr="00C17D9E">
        <w:t xml:space="preserve"> according to the </w:t>
      </w:r>
      <w:r w:rsidR="00BD3681">
        <w:t>Commission</w:t>
      </w:r>
      <w:r w:rsidR="001E0506" w:rsidRPr="00C17D9E">
        <w:t>’s Policy on Closing an I</w:t>
      </w:r>
      <w:r w:rsidR="007D50DF" w:rsidRPr="00C17D9E">
        <w:t xml:space="preserve">nstitution.  </w:t>
      </w:r>
      <w:r w:rsidRPr="00C17D9E">
        <w:t>T</w:t>
      </w:r>
      <w:r w:rsidR="00834FF1" w:rsidRPr="00C17D9E">
        <w:t xml:space="preserve">he </w:t>
      </w:r>
      <w:r w:rsidR="00BD3681">
        <w:t>Commission</w:t>
      </w:r>
      <w:r w:rsidR="00834FF1" w:rsidRPr="00C17D9E">
        <w:t xml:space="preserve"> also </w:t>
      </w:r>
      <w:r w:rsidR="008867A9" w:rsidRPr="00C17D9E">
        <w:t>requires</w:t>
      </w:r>
      <w:r w:rsidR="0036605B" w:rsidRPr="00C17D9E">
        <w:t xml:space="preserve"> </w:t>
      </w:r>
      <w:r w:rsidR="00DB124C" w:rsidRPr="00C17D9E">
        <w:t>CR</w:t>
      </w:r>
      <w:r w:rsidR="00834FF1" w:rsidRPr="00C17D9E">
        <w:t xml:space="preserve"> </w:t>
      </w:r>
      <w:r w:rsidRPr="00C17D9E">
        <w:t xml:space="preserve">to </w:t>
      </w:r>
      <w:r w:rsidR="007D50DF" w:rsidRPr="00C17D9E">
        <w:t xml:space="preserve">submit </w:t>
      </w:r>
      <w:r w:rsidR="00642029" w:rsidRPr="00C17D9E">
        <w:t xml:space="preserve">this </w:t>
      </w:r>
      <w:r w:rsidR="00834FF1" w:rsidRPr="00341F77">
        <w:t xml:space="preserve">Closure </w:t>
      </w:r>
      <w:r w:rsidR="001E0506" w:rsidRPr="00341F77">
        <w:t>Plan</w:t>
      </w:r>
      <w:r w:rsidR="00834FF1" w:rsidRPr="00C17D9E">
        <w:rPr>
          <w:b/>
        </w:rPr>
        <w:t xml:space="preserve"> </w:t>
      </w:r>
      <w:r w:rsidR="00834FF1" w:rsidRPr="00C17D9E">
        <w:t>with its</w:t>
      </w:r>
      <w:r w:rsidR="00834FF1" w:rsidRPr="00C17D9E">
        <w:rPr>
          <w:b/>
        </w:rPr>
        <w:t xml:space="preserve"> </w:t>
      </w:r>
      <w:r w:rsidR="007D50DF" w:rsidRPr="00341F77">
        <w:t xml:space="preserve">Show Cause </w:t>
      </w:r>
      <w:r w:rsidR="00C17D9E" w:rsidRPr="00341F77">
        <w:t>Report</w:t>
      </w:r>
      <w:r w:rsidR="00C17D9E" w:rsidRPr="00C17D9E">
        <w:rPr>
          <w:b/>
          <w:i/>
        </w:rPr>
        <w:t xml:space="preserve"> </w:t>
      </w:r>
      <w:r w:rsidR="00C17D9E" w:rsidRPr="00C17D9E">
        <w:t>on</w:t>
      </w:r>
      <w:r w:rsidR="00543879" w:rsidRPr="00C17D9E">
        <w:t xml:space="preserve"> October 15, 2012.  </w:t>
      </w:r>
    </w:p>
    <w:p w:rsidR="00F035A6" w:rsidRPr="00C17D9E" w:rsidRDefault="00F035A6" w:rsidP="00B96A1A"/>
    <w:p w:rsidR="008867A9" w:rsidRPr="00C17D9E" w:rsidRDefault="007D50DF" w:rsidP="00B96A1A">
      <w:r w:rsidRPr="00C17D9E">
        <w:t>According</w:t>
      </w:r>
      <w:r w:rsidR="00721069" w:rsidRPr="00C17D9E">
        <w:t xml:space="preserve"> </w:t>
      </w:r>
      <w:r w:rsidR="00C54570" w:rsidRPr="00C17D9E">
        <w:t xml:space="preserve">to </w:t>
      </w:r>
      <w:r w:rsidR="001630F6" w:rsidRPr="00C17D9E">
        <w:t xml:space="preserve">the </w:t>
      </w:r>
      <w:r w:rsidR="00C54570" w:rsidRPr="00C17D9E">
        <w:t>ACCJC Constitution, u</w:t>
      </w:r>
      <w:r w:rsidR="00543879" w:rsidRPr="00C17D9E">
        <w:t>nder the status of Show Cause</w:t>
      </w:r>
      <w:r w:rsidR="003B535D" w:rsidRPr="00C17D9E">
        <w:t>,</w:t>
      </w:r>
      <w:r w:rsidR="002C174E" w:rsidRPr="00C17D9E">
        <w:t xml:space="preserve"> the </w:t>
      </w:r>
      <w:r w:rsidR="00862B58">
        <w:t>College</w:t>
      </w:r>
      <w:r w:rsidR="00C67106" w:rsidRPr="00C17D9E">
        <w:t xml:space="preserve"> must </w:t>
      </w:r>
      <w:r w:rsidR="000F1B8C" w:rsidRPr="00C17D9E">
        <w:t xml:space="preserve">demonstrate </w:t>
      </w:r>
      <w:r w:rsidR="008867A9" w:rsidRPr="00C17D9E">
        <w:t xml:space="preserve">that it has corrected the </w:t>
      </w:r>
      <w:r w:rsidR="00543879" w:rsidRPr="00C17D9E">
        <w:t xml:space="preserve">deficiencies </w:t>
      </w:r>
      <w:r w:rsidR="00B96A1A">
        <w:t xml:space="preserve">noted by the </w:t>
      </w:r>
      <w:r w:rsidR="00BD3681">
        <w:t>Commission</w:t>
      </w:r>
      <w:r w:rsidR="008867A9" w:rsidRPr="00C17D9E">
        <w:t xml:space="preserve"> and is in </w:t>
      </w:r>
      <w:r w:rsidR="00543879" w:rsidRPr="00C17D9E">
        <w:t xml:space="preserve">compliance with the Eligibility Requirements, Accreditation Standards and </w:t>
      </w:r>
      <w:r w:rsidR="00BD3681">
        <w:t>Commission</w:t>
      </w:r>
      <w:r w:rsidR="00543879" w:rsidRPr="00C17D9E">
        <w:t xml:space="preserve"> </w:t>
      </w:r>
      <w:r w:rsidR="008867A9" w:rsidRPr="00C17D9E">
        <w:t>p</w:t>
      </w:r>
      <w:r w:rsidR="00543879" w:rsidRPr="00C17D9E">
        <w:t>olicies</w:t>
      </w:r>
      <w:r w:rsidR="00713F78" w:rsidRPr="00C17D9E">
        <w:t>.</w:t>
      </w:r>
      <w:r w:rsidR="008867A9" w:rsidRPr="00C17D9E">
        <w:t xml:space="preserve"> </w:t>
      </w:r>
      <w:r w:rsidR="00713F78" w:rsidRPr="00C17D9E">
        <w:t xml:space="preserve">Additionally, </w:t>
      </w:r>
      <w:r w:rsidR="00543879" w:rsidRPr="00C17D9E">
        <w:t xml:space="preserve">the </w:t>
      </w:r>
      <w:r w:rsidR="00BD3681">
        <w:t>Commission</w:t>
      </w:r>
      <w:r w:rsidR="00543879" w:rsidRPr="00C17D9E">
        <w:t xml:space="preserve">’s 2011 external evaluation team recommendations incorporate recommendations from past evaluation teams that the </w:t>
      </w:r>
      <w:r w:rsidR="00862B58">
        <w:t>College</w:t>
      </w:r>
      <w:r w:rsidR="00543879" w:rsidRPr="00C17D9E">
        <w:t xml:space="preserve"> has not resolved,</w:t>
      </w:r>
      <w:r w:rsidR="00543879" w:rsidRPr="00C17D9E">
        <w:rPr>
          <w:color w:val="7030A0"/>
        </w:rPr>
        <w:t xml:space="preserve"> </w:t>
      </w:r>
      <w:r w:rsidR="00543879" w:rsidRPr="00C17D9E">
        <w:t xml:space="preserve">including recommendations made by the 2005 </w:t>
      </w:r>
      <w:r w:rsidR="00984F67" w:rsidRPr="00C17D9E">
        <w:t xml:space="preserve">comprehensive evaluation team and one recommendation on planning made by the 1999 comprehensive evaluation team.  </w:t>
      </w:r>
    </w:p>
    <w:p w:rsidR="008867A9" w:rsidRPr="00C17D9E" w:rsidRDefault="008867A9" w:rsidP="00B96A1A"/>
    <w:p w:rsidR="00A8699F" w:rsidRPr="00C17D9E" w:rsidRDefault="00713F78" w:rsidP="00B96A1A">
      <w:r w:rsidRPr="00C17D9E">
        <w:t xml:space="preserve">ACCJC </w:t>
      </w:r>
      <w:r w:rsidR="00984F67" w:rsidRPr="00C17D9E">
        <w:t xml:space="preserve">has </w:t>
      </w:r>
      <w:r w:rsidR="00C67106" w:rsidRPr="00C17D9E">
        <w:t xml:space="preserve">directed </w:t>
      </w:r>
      <w:r w:rsidR="00007BE7">
        <w:t>the Redwoods Community College District</w:t>
      </w:r>
      <w:r w:rsidR="003B535D" w:rsidRPr="00C17D9E">
        <w:t xml:space="preserve"> </w:t>
      </w:r>
      <w:r w:rsidR="00C67106" w:rsidRPr="00C17D9E">
        <w:t xml:space="preserve">to </w:t>
      </w:r>
      <w:r w:rsidR="00984F67" w:rsidRPr="00C17D9E">
        <w:t>make</w:t>
      </w:r>
      <w:r w:rsidRPr="00C17D9E">
        <w:t xml:space="preserve"> preparations for closure according to the </w:t>
      </w:r>
      <w:r w:rsidR="00BD3681">
        <w:t>Commission</w:t>
      </w:r>
      <w:r w:rsidRPr="00C17D9E">
        <w:t>’s Policy on Closing an Institution.</w:t>
      </w:r>
      <w:r w:rsidR="0036605B" w:rsidRPr="00C17D9E">
        <w:t xml:space="preserve"> </w:t>
      </w:r>
      <w:r w:rsidR="00984F67" w:rsidRPr="00C17D9E">
        <w:t xml:space="preserve">A revocation by </w:t>
      </w:r>
      <w:r w:rsidRPr="00C17D9E">
        <w:t>ACCJC/W</w:t>
      </w:r>
      <w:r w:rsidR="003B535D" w:rsidRPr="00C17D9E">
        <w:t>ASC</w:t>
      </w:r>
      <w:r w:rsidR="00984F67" w:rsidRPr="00C17D9E">
        <w:t xml:space="preserve"> of the CR’s</w:t>
      </w:r>
      <w:r w:rsidR="003B535D" w:rsidRPr="00C17D9E">
        <w:t xml:space="preserve"> accreditat</w:t>
      </w:r>
      <w:r w:rsidRPr="00C17D9E">
        <w:t>ion would likely result in a loss of</w:t>
      </w:r>
      <w:r w:rsidR="00007BE7">
        <w:t xml:space="preserve"> </w:t>
      </w:r>
      <w:r w:rsidR="008B4159">
        <w:t>State</w:t>
      </w:r>
      <w:r w:rsidR="003B535D" w:rsidRPr="00C17D9E">
        <w:t xml:space="preserve"> an</w:t>
      </w:r>
      <w:r w:rsidR="00691DB4" w:rsidRPr="00C17D9E">
        <w:t>d federal funds, including all general fund and c</w:t>
      </w:r>
      <w:r w:rsidR="003B535D" w:rsidRPr="00C17D9E">
        <w:t xml:space="preserve">ategorical apportionment revenues, financial aid, and maintenance funds. The magnitude of this </w:t>
      </w:r>
      <w:r w:rsidR="00876837" w:rsidRPr="00C17D9E">
        <w:t xml:space="preserve">in </w:t>
      </w:r>
      <w:r w:rsidR="003B535D" w:rsidRPr="00C17D9E">
        <w:t>effect wo</w:t>
      </w:r>
      <w:r w:rsidR="00B96A1A">
        <w:t xml:space="preserve">uld cause all functions of the </w:t>
      </w:r>
      <w:r w:rsidR="00862B58">
        <w:t>College</w:t>
      </w:r>
      <w:r w:rsidR="003B535D" w:rsidRPr="00C17D9E">
        <w:t xml:space="preserve"> to c</w:t>
      </w:r>
      <w:r w:rsidR="00691DB4" w:rsidRPr="00C17D9E">
        <w:t>ease</w:t>
      </w:r>
      <w:r w:rsidR="003B535D" w:rsidRPr="00C17D9E">
        <w:t xml:space="preserve">. </w:t>
      </w:r>
      <w:r w:rsidR="00876837" w:rsidRPr="00C17D9E">
        <w:t>Although</w:t>
      </w:r>
      <w:r w:rsidR="00691DB4" w:rsidRPr="00C17D9E">
        <w:t>,</w:t>
      </w:r>
      <w:r w:rsidR="00007BE7">
        <w:t xml:space="preserve"> the District</w:t>
      </w:r>
      <w:r w:rsidR="00876837" w:rsidRPr="00C17D9E">
        <w:t xml:space="preserve"> could </w:t>
      </w:r>
      <w:r w:rsidR="00007BE7">
        <w:t xml:space="preserve">technically </w:t>
      </w:r>
      <w:r w:rsidR="00876837" w:rsidRPr="00C17D9E">
        <w:t xml:space="preserve">remain as a legal entity, removal of funding could </w:t>
      </w:r>
      <w:r w:rsidRPr="00C17D9E">
        <w:t>have the same effect as closing</w:t>
      </w:r>
      <w:r w:rsidR="00876837" w:rsidRPr="00C17D9E">
        <w:t xml:space="preserve"> </w:t>
      </w:r>
      <w:r w:rsidR="00691DB4" w:rsidRPr="00C17D9E">
        <w:t>the institution</w:t>
      </w:r>
      <w:r w:rsidR="00876837" w:rsidRPr="00C17D9E">
        <w:t>.</w:t>
      </w:r>
      <w:r w:rsidR="00984F67" w:rsidRPr="00C17D9E">
        <w:t xml:space="preserve"> CR</w:t>
      </w:r>
      <w:r w:rsidR="00BF7F3E" w:rsidRPr="00C17D9E">
        <w:t xml:space="preserve"> is taking </w:t>
      </w:r>
      <w:r w:rsidR="00BF7F3E" w:rsidRPr="00C17D9E">
        <w:lastRenderedPageBreak/>
        <w:t>every step and precaution to address all ACCJC recommendation</w:t>
      </w:r>
      <w:r w:rsidR="001E0506" w:rsidRPr="00C17D9E">
        <w:t>s</w:t>
      </w:r>
      <w:r w:rsidR="00BF7F3E" w:rsidRPr="00C17D9E">
        <w:t xml:space="preserve"> so that the institution can demonstrate why its accreditation should be continued.  However, due to the parallel requirement to address the </w:t>
      </w:r>
      <w:r w:rsidR="00BD3681">
        <w:t>Commission</w:t>
      </w:r>
      <w:r w:rsidR="00BF7F3E" w:rsidRPr="00C17D9E">
        <w:t>’s policy on closing an institution, this Closure Report is being taken seriously</w:t>
      </w:r>
      <w:r w:rsidR="00861AF4" w:rsidRPr="00C17D9E">
        <w:t>, i</w:t>
      </w:r>
      <w:r w:rsidR="001E0506" w:rsidRPr="00C17D9E">
        <w:t>ncludes thoughtful planning, and</w:t>
      </w:r>
      <w:r w:rsidR="00BF7F3E" w:rsidRPr="00C17D9E">
        <w:t xml:space="preserve"> </w:t>
      </w:r>
      <w:r w:rsidR="00861AF4" w:rsidRPr="00C17D9E">
        <w:t xml:space="preserve">is being </w:t>
      </w:r>
      <w:r w:rsidR="00BF7F3E" w:rsidRPr="00C17D9E">
        <w:t>sub</w:t>
      </w:r>
      <w:r w:rsidR="00984F67" w:rsidRPr="00C17D9E">
        <w:t xml:space="preserve">mitted to ACCJC </w:t>
      </w:r>
      <w:r w:rsidR="001E0506" w:rsidRPr="00C17D9E">
        <w:t xml:space="preserve">on </w:t>
      </w:r>
      <w:r w:rsidR="00984F67" w:rsidRPr="00C17D9E">
        <w:t xml:space="preserve">October </w:t>
      </w:r>
      <w:r w:rsidR="009875B4" w:rsidRPr="00C17D9E">
        <w:t xml:space="preserve">15, 2012.  </w:t>
      </w:r>
      <w:r w:rsidR="00862B58">
        <w:t>College</w:t>
      </w:r>
      <w:r w:rsidR="001D2B28">
        <w:t xml:space="preserve"> of the Redwoods</w:t>
      </w:r>
      <w:r w:rsidR="00BF7F3E" w:rsidRPr="00C17D9E">
        <w:t xml:space="preserve"> will</w:t>
      </w:r>
      <w:r w:rsidR="00BB6829" w:rsidRPr="00C17D9E">
        <w:t xml:space="preserve"> follow ACCJC’s by-law</w:t>
      </w:r>
      <w:r w:rsidR="00861AF4" w:rsidRPr="00C17D9E">
        <w:t>s</w:t>
      </w:r>
      <w:r w:rsidR="00BB6829" w:rsidRPr="00C17D9E">
        <w:t xml:space="preserve"> and </w:t>
      </w:r>
      <w:r w:rsidR="00861AF4" w:rsidRPr="00C17D9E">
        <w:t xml:space="preserve">Policy on Closing an Institution </w:t>
      </w:r>
      <w:r w:rsidR="00BB6829" w:rsidRPr="00C17D9E">
        <w:t>to develop a closure plan to ensure students’ interests are protected.</w:t>
      </w:r>
      <w:r w:rsidR="00F46D94" w:rsidRPr="00C17D9E">
        <w:t xml:space="preserve">  Therefore, </w:t>
      </w:r>
      <w:r w:rsidR="00B12D74" w:rsidRPr="00C17D9E">
        <w:t>we have</w:t>
      </w:r>
      <w:r w:rsidR="00520FB3" w:rsidRPr="00C17D9E">
        <w:t xml:space="preserve"> worked to</w:t>
      </w:r>
      <w:r w:rsidR="00B12D74" w:rsidRPr="00C17D9E">
        <w:t xml:space="preserve"> </w:t>
      </w:r>
      <w:r w:rsidR="00F46D94" w:rsidRPr="00C17D9E">
        <w:t>develop a closure plan that would provide services to students and the community with the least disruption</w:t>
      </w:r>
      <w:r w:rsidR="009875B4" w:rsidRPr="00C17D9E">
        <w:t xml:space="preserve"> while CR</w:t>
      </w:r>
      <w:r w:rsidR="00BF7F3E" w:rsidRPr="00C17D9E">
        <w:t xml:space="preserve"> satisfactorily addresses all </w:t>
      </w:r>
      <w:r w:rsidR="001E0506" w:rsidRPr="00C17D9E">
        <w:t xml:space="preserve">of </w:t>
      </w:r>
      <w:r w:rsidR="00BF7F3E" w:rsidRPr="00C17D9E">
        <w:t>the ACCJC recommendations</w:t>
      </w:r>
      <w:r w:rsidR="009875B4" w:rsidRPr="00C17D9E">
        <w:t xml:space="preserve">, </w:t>
      </w:r>
      <w:r w:rsidR="00BF7F3E" w:rsidRPr="00C17D9E">
        <w:t xml:space="preserve">Eligibility </w:t>
      </w:r>
      <w:r w:rsidR="00F51DD9" w:rsidRPr="00C17D9E">
        <w:t>Requirements</w:t>
      </w:r>
      <w:r w:rsidR="00861AF4" w:rsidRPr="00C17D9E">
        <w:t xml:space="preserve"> and </w:t>
      </w:r>
      <w:r w:rsidR="00F379F4">
        <w:t>Accreditation Standards</w:t>
      </w:r>
      <w:r w:rsidR="00BF7F3E" w:rsidRPr="00C17D9E">
        <w:t>.</w:t>
      </w:r>
      <w:r w:rsidR="00F46D94" w:rsidRPr="00C17D9E">
        <w:t xml:space="preserve"> </w:t>
      </w:r>
    </w:p>
    <w:p w:rsidR="00F46D94" w:rsidRPr="00C17D9E" w:rsidRDefault="00F46D94" w:rsidP="00B96A1A"/>
    <w:p w:rsidR="00A80D32" w:rsidRPr="00C17D9E" w:rsidRDefault="00F46D94" w:rsidP="00B96A1A">
      <w:r w:rsidRPr="00C17D9E">
        <w:t xml:space="preserve">The ACCJC Policy on Closing an Institution stipulates that “Before closing, </w:t>
      </w:r>
      <w:r w:rsidR="00373341">
        <w:t>the Board of Trustees</w:t>
      </w:r>
      <w:r w:rsidRPr="00C17D9E">
        <w:t xml:space="preserve"> should consider carefully such alternatives a</w:t>
      </w:r>
      <w:r w:rsidR="001630F6" w:rsidRPr="00C17D9E">
        <w:t>s</w:t>
      </w:r>
      <w:r w:rsidRPr="00C17D9E">
        <w:t xml:space="preserve"> merging with another institution, forming a consortium, or participating in extensive institutional sharing and cooperation.”  As a result, the </w:t>
      </w:r>
      <w:r w:rsidR="008B4159">
        <w:t>State</w:t>
      </w:r>
      <w:r w:rsidR="00007BE7">
        <w:t>-</w:t>
      </w:r>
      <w:r w:rsidRPr="00C17D9E">
        <w:t>app</w:t>
      </w:r>
      <w:r w:rsidR="009875B4" w:rsidRPr="00C17D9E">
        <w:t xml:space="preserve">ointed Special Trustee and the </w:t>
      </w:r>
      <w:r w:rsidR="00862B58">
        <w:t>College</w:t>
      </w:r>
      <w:r w:rsidR="009875B4" w:rsidRPr="00C17D9E">
        <w:t xml:space="preserve"> </w:t>
      </w:r>
      <w:r w:rsidRPr="00C17D9E">
        <w:t>Presid</w:t>
      </w:r>
      <w:r w:rsidR="00BF7F3E" w:rsidRPr="00C17D9E">
        <w:t>ent</w:t>
      </w:r>
      <w:r w:rsidR="00007BE7">
        <w:t>/Superintendent</w:t>
      </w:r>
      <w:r w:rsidR="00BF7F3E" w:rsidRPr="00C17D9E">
        <w:t xml:space="preserve"> have worked diligently </w:t>
      </w:r>
      <w:r w:rsidR="007B16E5" w:rsidRPr="00C17D9E">
        <w:t xml:space="preserve">to ensure that the interests of the students are being protected.  </w:t>
      </w:r>
    </w:p>
    <w:p w:rsidR="00BF7F3E" w:rsidRPr="00C17D9E" w:rsidRDefault="00BF7F3E" w:rsidP="00B96A1A"/>
    <w:p w:rsidR="009C1228" w:rsidRDefault="002B17A7" w:rsidP="00B96A1A">
      <w:r w:rsidRPr="00C17D9E">
        <w:t>In the event the Closure P</w:t>
      </w:r>
      <w:r w:rsidR="00EB134D" w:rsidRPr="00C17D9E">
        <w:t xml:space="preserve">lan </w:t>
      </w:r>
      <w:r w:rsidR="00BF7F3E" w:rsidRPr="00C17D9E">
        <w:t>needed</w:t>
      </w:r>
      <w:r w:rsidR="00FE3ACD" w:rsidRPr="00C17D9E">
        <w:t xml:space="preserve"> </w:t>
      </w:r>
      <w:r w:rsidR="00F51DD9" w:rsidRPr="00C17D9E">
        <w:t xml:space="preserve">to </w:t>
      </w:r>
      <w:r w:rsidR="00FE3ACD" w:rsidRPr="00C17D9E">
        <w:t>be activated by the beginning</w:t>
      </w:r>
      <w:r w:rsidR="00BF7F3E" w:rsidRPr="00C17D9E">
        <w:t xml:space="preserve"> of </w:t>
      </w:r>
      <w:r w:rsidR="00116E36">
        <w:t>Fall</w:t>
      </w:r>
      <w:r w:rsidR="00FE3ACD" w:rsidRPr="00C17D9E">
        <w:t xml:space="preserve"> </w:t>
      </w:r>
      <w:r w:rsidR="00EE0871" w:rsidRPr="00C17D9E">
        <w:t xml:space="preserve">semester </w:t>
      </w:r>
      <w:r w:rsidR="009875B4" w:rsidRPr="00C17D9E">
        <w:t>in July 2013, CR</w:t>
      </w:r>
      <w:r w:rsidR="009C1228" w:rsidRPr="00C17D9E">
        <w:t xml:space="preserve"> would</w:t>
      </w:r>
      <w:r w:rsidR="00520FB3" w:rsidRPr="00C17D9E">
        <w:t>,</w:t>
      </w:r>
      <w:r w:rsidR="009C1228" w:rsidRPr="00C17D9E">
        <w:t xml:space="preserve"> </w:t>
      </w:r>
      <w:r w:rsidR="00F51DD9" w:rsidRPr="00C17D9E">
        <w:t xml:space="preserve">in </w:t>
      </w:r>
      <w:r w:rsidR="00007BE7">
        <w:t xml:space="preserve">advance using </w:t>
      </w:r>
      <w:r w:rsidR="00F51DD9" w:rsidRPr="00C17D9E">
        <w:t>a consultative process</w:t>
      </w:r>
      <w:r w:rsidR="00520FB3" w:rsidRPr="00C17D9E">
        <w:t>,</w:t>
      </w:r>
      <w:r w:rsidR="00F51DD9" w:rsidRPr="00C17D9E">
        <w:t xml:space="preserve"> </w:t>
      </w:r>
      <w:r w:rsidR="00520FB3" w:rsidRPr="00C17D9E">
        <w:t xml:space="preserve">implement </w:t>
      </w:r>
      <w:r w:rsidR="00F51DD9" w:rsidRPr="00C17D9E">
        <w:t>the following</w:t>
      </w:r>
      <w:r w:rsidR="009C1228" w:rsidRPr="00C17D9E">
        <w:t>:</w:t>
      </w:r>
    </w:p>
    <w:p w:rsidR="00007BE7" w:rsidRPr="00C17D9E" w:rsidRDefault="00007BE7" w:rsidP="00B96A1A"/>
    <w:p w:rsidR="009C1228" w:rsidRPr="00C17D9E" w:rsidRDefault="009C1228" w:rsidP="00B96A1A">
      <w:pPr>
        <w:numPr>
          <w:ilvl w:val="0"/>
          <w:numId w:val="17"/>
        </w:numPr>
      </w:pPr>
      <w:r w:rsidRPr="00C17D9E">
        <w:t xml:space="preserve">Each </w:t>
      </w:r>
      <w:r w:rsidR="00A40562" w:rsidRPr="00C17D9E">
        <w:t>c</w:t>
      </w:r>
      <w:r w:rsidRPr="00C17D9E">
        <w:t xml:space="preserve">onstituency </w:t>
      </w:r>
      <w:r w:rsidR="00A40562" w:rsidRPr="00C17D9E">
        <w:t>g</w:t>
      </w:r>
      <w:r w:rsidRPr="00C17D9E">
        <w:t xml:space="preserve">roup </w:t>
      </w:r>
      <w:r w:rsidR="0036605B" w:rsidRPr="00C17D9E">
        <w:t>will</w:t>
      </w:r>
      <w:r w:rsidR="00520FB3" w:rsidRPr="00C17D9E">
        <w:t xml:space="preserve"> </w:t>
      </w:r>
      <w:r w:rsidRPr="00C17D9E">
        <w:t xml:space="preserve">be </w:t>
      </w:r>
      <w:r w:rsidR="00A40562" w:rsidRPr="00C17D9E">
        <w:t>i</w:t>
      </w:r>
      <w:r w:rsidRPr="00C17D9E">
        <w:t xml:space="preserve">dentified and </w:t>
      </w:r>
      <w:r w:rsidR="00A40562" w:rsidRPr="00C17D9E">
        <w:t>e</w:t>
      </w:r>
      <w:r w:rsidRPr="00C17D9E">
        <w:t>ngaged (Planning and Consultation)</w:t>
      </w:r>
      <w:r w:rsidR="001C52C4">
        <w:t>;</w:t>
      </w:r>
    </w:p>
    <w:p w:rsidR="00F51DD9" w:rsidRPr="00C17D9E" w:rsidRDefault="009C1228" w:rsidP="00B96A1A">
      <w:pPr>
        <w:numPr>
          <w:ilvl w:val="0"/>
          <w:numId w:val="17"/>
        </w:numPr>
      </w:pPr>
      <w:r w:rsidRPr="00C17D9E">
        <w:t xml:space="preserve">A </w:t>
      </w:r>
      <w:r w:rsidR="00A40562" w:rsidRPr="00C17D9E">
        <w:t>r</w:t>
      </w:r>
      <w:r w:rsidRPr="00C17D9E">
        <w:t xml:space="preserve">eview of </w:t>
      </w:r>
      <w:r w:rsidR="008B4159">
        <w:t>State</w:t>
      </w:r>
      <w:r w:rsidRPr="00C17D9E">
        <w:t xml:space="preserve"> and/or National Law Relative to Legal Responsibilities (Title to Real Property/Other Legal Responsibilities)</w:t>
      </w:r>
      <w:r w:rsidR="00520FB3" w:rsidRPr="00C17D9E" w:rsidDel="00520FB3">
        <w:t xml:space="preserve"> </w:t>
      </w:r>
      <w:r w:rsidRPr="00C17D9E">
        <w:t>Alternatives to Closing (Merging, Forming Consortiums</w:t>
      </w:r>
      <w:r w:rsidR="00F51DD9" w:rsidRPr="00C17D9E">
        <w:t>, Inter-Institutional Sharing/</w:t>
      </w:r>
      <w:r w:rsidR="00590089" w:rsidRPr="00C17D9E">
        <w:t>Cooperation</w:t>
      </w:r>
      <w:r w:rsidR="00F51DD9" w:rsidRPr="00C17D9E">
        <w:t>)</w:t>
      </w:r>
      <w:r w:rsidR="001C52C4">
        <w:t>;</w:t>
      </w:r>
      <w:r w:rsidR="00520FB3" w:rsidRPr="00C17D9E">
        <w:t xml:space="preserve"> </w:t>
      </w:r>
    </w:p>
    <w:p w:rsidR="00E52414" w:rsidRPr="00C17D9E" w:rsidRDefault="007B16E5" w:rsidP="00B96A1A">
      <w:pPr>
        <w:numPr>
          <w:ilvl w:val="0"/>
          <w:numId w:val="17"/>
        </w:numPr>
      </w:pPr>
      <w:r w:rsidRPr="00C17D9E">
        <w:t>Instructional S</w:t>
      </w:r>
      <w:r w:rsidR="00957CD4" w:rsidRPr="00C17D9E">
        <w:t xml:space="preserve">ervices </w:t>
      </w:r>
      <w:r w:rsidR="00375EF2" w:rsidRPr="00C17D9E">
        <w:t>Agreement</w:t>
      </w:r>
      <w:r w:rsidR="00FE3ACD" w:rsidRPr="00C17D9E">
        <w:t xml:space="preserve"> </w:t>
      </w:r>
      <w:r w:rsidRPr="00C17D9E">
        <w:t xml:space="preserve">(ISA) </w:t>
      </w:r>
      <w:r w:rsidR="00FE3ACD" w:rsidRPr="00C17D9E">
        <w:t xml:space="preserve">with an accredited </w:t>
      </w:r>
      <w:r w:rsidR="00862B58">
        <w:t>College</w:t>
      </w:r>
      <w:r w:rsidR="00FE3ACD" w:rsidRPr="00C17D9E">
        <w:t xml:space="preserve"> to offer contracted </w:t>
      </w:r>
      <w:r w:rsidRPr="00C17D9E">
        <w:t xml:space="preserve">instructional </w:t>
      </w:r>
      <w:r w:rsidR="00FE3ACD" w:rsidRPr="00C17D9E">
        <w:t>services.</w:t>
      </w:r>
      <w:r w:rsidR="00EE0871" w:rsidRPr="00C17D9E">
        <w:t xml:space="preserve"> </w:t>
      </w:r>
      <w:r w:rsidR="00F51DD9" w:rsidRPr="00C17D9E">
        <w:rPr>
          <w:rStyle w:val="FootnoteReference"/>
        </w:rPr>
        <w:t xml:space="preserve"> </w:t>
      </w:r>
      <w:r w:rsidR="000F1B8C" w:rsidRPr="00C17D9E">
        <w:t>A substantive change pro</w:t>
      </w:r>
      <w:r w:rsidR="00F51DD9" w:rsidRPr="00C17D9E">
        <w:t>posal would need to be approved by ACCJC for this to be a viable option</w:t>
      </w:r>
      <w:r w:rsidR="001C52C4">
        <w:t>;</w:t>
      </w:r>
    </w:p>
    <w:p w:rsidR="00F51DD9" w:rsidRPr="00C17D9E" w:rsidRDefault="00F51DD9" w:rsidP="00B96A1A">
      <w:pPr>
        <w:numPr>
          <w:ilvl w:val="0"/>
          <w:numId w:val="17"/>
        </w:numPr>
      </w:pPr>
      <w:r w:rsidRPr="00C17D9E">
        <w:t xml:space="preserve">Governing Board </w:t>
      </w:r>
      <w:r w:rsidR="00A40562" w:rsidRPr="00C17D9E">
        <w:t>f</w:t>
      </w:r>
      <w:r w:rsidRPr="00C17D9E">
        <w:t xml:space="preserve">ully </w:t>
      </w:r>
      <w:r w:rsidR="00A40562" w:rsidRPr="00C17D9E">
        <w:t>i</w:t>
      </w:r>
      <w:r w:rsidRPr="00C17D9E">
        <w:t xml:space="preserve">nforms all </w:t>
      </w:r>
      <w:r w:rsidR="00A40562" w:rsidRPr="00C17D9E">
        <w:t>a</w:t>
      </w:r>
      <w:r w:rsidRPr="00C17D9E">
        <w:t xml:space="preserve">ffected </w:t>
      </w:r>
      <w:r w:rsidR="00A40562" w:rsidRPr="00C17D9E">
        <w:t>c</w:t>
      </w:r>
      <w:r w:rsidR="001C52C4">
        <w:t>onstituents; and</w:t>
      </w:r>
    </w:p>
    <w:p w:rsidR="00F51DD9" w:rsidRPr="00C17D9E" w:rsidRDefault="00F51DD9" w:rsidP="00B96A1A">
      <w:pPr>
        <w:numPr>
          <w:ilvl w:val="0"/>
          <w:numId w:val="17"/>
        </w:numPr>
      </w:pPr>
      <w:r w:rsidRPr="00C17D9E">
        <w:t xml:space="preserve">Provide for </w:t>
      </w:r>
      <w:r w:rsidR="00520FB3" w:rsidRPr="00C17D9E">
        <w:t xml:space="preserve">student completion </w:t>
      </w:r>
      <w:r w:rsidRPr="00C17D9E">
        <w:t xml:space="preserve">of </w:t>
      </w:r>
      <w:r w:rsidR="00520FB3" w:rsidRPr="00C17D9E">
        <w:t xml:space="preserve">programs </w:t>
      </w:r>
      <w:r w:rsidRPr="00C17D9E">
        <w:t xml:space="preserve">and the </w:t>
      </w:r>
      <w:r w:rsidR="00520FB3" w:rsidRPr="00C17D9E">
        <w:t xml:space="preserve">securing </w:t>
      </w:r>
      <w:r w:rsidRPr="00C17D9E">
        <w:t xml:space="preserve">of </w:t>
      </w:r>
      <w:r w:rsidR="00520FB3" w:rsidRPr="00C17D9E">
        <w:t>student records</w:t>
      </w:r>
      <w:r w:rsidRPr="00C17D9E">
        <w:t>.</w:t>
      </w:r>
    </w:p>
    <w:p w:rsidR="00515769" w:rsidRPr="00C17D9E" w:rsidRDefault="00515769" w:rsidP="00B96A1A"/>
    <w:p w:rsidR="00515769" w:rsidRPr="00C17D9E" w:rsidRDefault="00515769" w:rsidP="00B96A1A">
      <w:r w:rsidRPr="00C17D9E">
        <w:t xml:space="preserve">In adherence to the ACCJC’s “Policy on Closing an Institution” requirements, the following is a list of the activities that the </w:t>
      </w:r>
      <w:r w:rsidR="00862B58">
        <w:t>College</w:t>
      </w:r>
      <w:r w:rsidRPr="00C17D9E">
        <w:t xml:space="preserve"> </w:t>
      </w:r>
      <w:r w:rsidR="00520FB3" w:rsidRPr="00C17D9E">
        <w:t xml:space="preserve">would </w:t>
      </w:r>
      <w:r w:rsidRPr="00C17D9E">
        <w:t xml:space="preserve">need to or has already begun to embark </w:t>
      </w:r>
      <w:r w:rsidR="00520FB3" w:rsidRPr="00C17D9E">
        <w:t xml:space="preserve">upon </w:t>
      </w:r>
      <w:r w:rsidRPr="00C17D9E">
        <w:t xml:space="preserve">to ensure that transition for students is smooth.  </w:t>
      </w:r>
    </w:p>
    <w:p w:rsidR="00515769" w:rsidRPr="00C17D9E" w:rsidRDefault="00515769" w:rsidP="00B96A1A"/>
    <w:p w:rsidR="00F51DD9" w:rsidRDefault="00F51DD9" w:rsidP="00B96A1A">
      <w:pPr>
        <w:numPr>
          <w:ilvl w:val="0"/>
          <w:numId w:val="17"/>
        </w:numPr>
      </w:pPr>
      <w:r w:rsidRPr="00C17D9E">
        <w:t>A Complete Analysis/Ad</w:t>
      </w:r>
      <w:r w:rsidR="001C52C4">
        <w:t>dress of the Following Elements</w:t>
      </w:r>
      <w:r w:rsidR="0052737F">
        <w:t xml:space="preserve"> will be accomplished:</w:t>
      </w:r>
    </w:p>
    <w:p w:rsidR="0052737F" w:rsidRPr="00C17D9E" w:rsidRDefault="0052737F" w:rsidP="004F47B4">
      <w:pPr>
        <w:ind w:left="780"/>
      </w:pPr>
    </w:p>
    <w:p w:rsidR="00F51DD9" w:rsidRPr="00C17D9E" w:rsidRDefault="0052737F" w:rsidP="00B96A1A">
      <w:pPr>
        <w:numPr>
          <w:ilvl w:val="1"/>
          <w:numId w:val="19"/>
        </w:numPr>
      </w:pPr>
      <w:r>
        <w:t>student c</w:t>
      </w:r>
      <w:r w:rsidR="00F51DD9" w:rsidRPr="00C17D9E">
        <w:t>ompletion</w:t>
      </w:r>
      <w:r w:rsidR="001C52C4">
        <w:t>;</w:t>
      </w:r>
    </w:p>
    <w:p w:rsidR="00F51DD9" w:rsidRPr="00C17D9E" w:rsidRDefault="0052737F" w:rsidP="00B96A1A">
      <w:pPr>
        <w:numPr>
          <w:ilvl w:val="1"/>
          <w:numId w:val="19"/>
        </w:numPr>
      </w:pPr>
      <w:r>
        <w:t>disposition of academic r</w:t>
      </w:r>
      <w:r w:rsidR="00F51DD9" w:rsidRPr="00C17D9E">
        <w:t xml:space="preserve">ecords and </w:t>
      </w:r>
      <w:r>
        <w:t>financial aid t</w:t>
      </w:r>
      <w:r w:rsidR="00F51DD9" w:rsidRPr="00C17D9E">
        <w:t>ranscripts</w:t>
      </w:r>
      <w:r w:rsidR="001C52C4">
        <w:t>;</w:t>
      </w:r>
    </w:p>
    <w:p w:rsidR="00F51DD9" w:rsidRPr="00C17D9E" w:rsidRDefault="0052737F" w:rsidP="00B96A1A">
      <w:pPr>
        <w:numPr>
          <w:ilvl w:val="1"/>
          <w:numId w:val="19"/>
        </w:numPr>
      </w:pPr>
      <w:r>
        <w:t>provisions for faculty and s</w:t>
      </w:r>
      <w:r w:rsidR="00F51DD9" w:rsidRPr="00C17D9E">
        <w:t>taff</w:t>
      </w:r>
      <w:r w:rsidR="001C52C4">
        <w:t>;</w:t>
      </w:r>
    </w:p>
    <w:p w:rsidR="00F51DD9" w:rsidRPr="00C17D9E" w:rsidRDefault="0052737F" w:rsidP="00B96A1A">
      <w:pPr>
        <w:numPr>
          <w:ilvl w:val="1"/>
          <w:numId w:val="19"/>
        </w:numPr>
      </w:pPr>
      <w:r>
        <w:t>disposition of a</w:t>
      </w:r>
      <w:r w:rsidR="00F51DD9" w:rsidRPr="00C17D9E">
        <w:t>ssets</w:t>
      </w:r>
      <w:r w:rsidR="001C52C4">
        <w:t>;</w:t>
      </w:r>
    </w:p>
    <w:p w:rsidR="00F51DD9" w:rsidRPr="00C17D9E" w:rsidRDefault="0052737F" w:rsidP="00B96A1A">
      <w:pPr>
        <w:numPr>
          <w:ilvl w:val="1"/>
          <w:numId w:val="19"/>
        </w:numPr>
      </w:pPr>
      <w:r>
        <w:t>obligation of a</w:t>
      </w:r>
      <w:r w:rsidR="00F51DD9" w:rsidRPr="00C17D9E">
        <w:t>ssets</w:t>
      </w:r>
      <w:r w:rsidR="001C52C4">
        <w:t>;</w:t>
      </w:r>
    </w:p>
    <w:p w:rsidR="00F51DD9" w:rsidRPr="00C17D9E" w:rsidRDefault="0052737F" w:rsidP="00B96A1A">
      <w:pPr>
        <w:numPr>
          <w:ilvl w:val="1"/>
          <w:numId w:val="19"/>
        </w:numPr>
      </w:pPr>
      <w:r>
        <w:t>c</w:t>
      </w:r>
      <w:r w:rsidR="00F51DD9" w:rsidRPr="00C17D9E">
        <w:t xml:space="preserve">oordination with the </w:t>
      </w:r>
      <w:r>
        <w:t>ACCJC</w:t>
      </w:r>
      <w:r w:rsidR="001C52C4">
        <w:t>; and</w:t>
      </w:r>
    </w:p>
    <w:p w:rsidR="00F51DD9" w:rsidRPr="00C17D9E" w:rsidRDefault="0052737F" w:rsidP="00B96A1A">
      <w:pPr>
        <w:numPr>
          <w:ilvl w:val="1"/>
          <w:numId w:val="19"/>
        </w:numPr>
      </w:pPr>
      <w:r>
        <w:t>key governing board o</w:t>
      </w:r>
      <w:r w:rsidR="00F51DD9" w:rsidRPr="00C17D9E">
        <w:t>bligations</w:t>
      </w:r>
      <w:r w:rsidR="001C52C4">
        <w:t>.</w:t>
      </w:r>
    </w:p>
    <w:p w:rsidR="001C52C4" w:rsidRDefault="001C52C4" w:rsidP="00B96A1A">
      <w:pPr>
        <w:rPr>
          <w:b/>
        </w:rPr>
      </w:pPr>
    </w:p>
    <w:p w:rsidR="00D14642" w:rsidRDefault="00D14642">
      <w:pPr>
        <w:rPr>
          <w:rStyle w:val="Strong"/>
        </w:rPr>
      </w:pPr>
      <w:r>
        <w:rPr>
          <w:rStyle w:val="Strong"/>
        </w:rPr>
        <w:br w:type="page"/>
      </w:r>
    </w:p>
    <w:p w:rsidR="000D3428" w:rsidRPr="008B4C29" w:rsidRDefault="000D3428" w:rsidP="00B96A1A">
      <w:pPr>
        <w:pStyle w:val="ListParagraph"/>
        <w:numPr>
          <w:ilvl w:val="0"/>
          <w:numId w:val="20"/>
        </w:numPr>
        <w:outlineLvl w:val="0"/>
        <w:rPr>
          <w:rStyle w:val="Strong"/>
        </w:rPr>
      </w:pPr>
      <w:r w:rsidRPr="008B4C29">
        <w:rPr>
          <w:rStyle w:val="Strong"/>
        </w:rPr>
        <w:lastRenderedPageBreak/>
        <w:t>Student Completion:</w:t>
      </w:r>
    </w:p>
    <w:p w:rsidR="001C52C4" w:rsidRPr="001C52C4" w:rsidRDefault="001C52C4" w:rsidP="00B96A1A">
      <w:pPr>
        <w:pStyle w:val="ListParagraph"/>
        <w:outlineLvl w:val="0"/>
        <w:rPr>
          <w:b/>
        </w:rPr>
      </w:pPr>
    </w:p>
    <w:p w:rsidR="000B4F71" w:rsidRPr="00C17D9E" w:rsidRDefault="00827814" w:rsidP="00B96A1A">
      <w:pPr>
        <w:numPr>
          <w:ilvl w:val="0"/>
          <w:numId w:val="3"/>
        </w:numPr>
      </w:pPr>
      <w:r w:rsidRPr="00C17D9E">
        <w:t>In the event the Closure Plan needed to be activated</w:t>
      </w:r>
      <w:r w:rsidR="001E0506" w:rsidRPr="00C17D9E">
        <w:t>,</w:t>
      </w:r>
      <w:r w:rsidRPr="00C17D9E">
        <w:t xml:space="preserve"> CR will provide for the academic needs of students who have not completed their degrees and educational programs. </w:t>
      </w:r>
    </w:p>
    <w:p w:rsidR="006454DE" w:rsidRPr="00C17D9E" w:rsidRDefault="006454DE" w:rsidP="00B96A1A">
      <w:pPr>
        <w:numPr>
          <w:ilvl w:val="0"/>
          <w:numId w:val="3"/>
        </w:numPr>
      </w:pPr>
      <w:r w:rsidRPr="00C17D9E">
        <w:t>Arrangements for transfers to other institutions will require complete academic records and all other related information gathered in dossiers which can be transmitted promptly to receiving institutions.</w:t>
      </w:r>
    </w:p>
    <w:p w:rsidR="006454DE" w:rsidRPr="00C17D9E" w:rsidRDefault="006454DE" w:rsidP="00B96A1A">
      <w:pPr>
        <w:numPr>
          <w:ilvl w:val="0"/>
          <w:numId w:val="3"/>
        </w:numPr>
      </w:pPr>
      <w:r w:rsidRPr="00C17D9E">
        <w:t xml:space="preserve">Agreements made with other institutions to receive transferring students and to accept records </w:t>
      </w:r>
      <w:r w:rsidR="001E0506" w:rsidRPr="00C17D9E">
        <w:t>will</w:t>
      </w:r>
      <w:r w:rsidRPr="00C17D9E">
        <w:t xml:space="preserve"> be submitted to the </w:t>
      </w:r>
      <w:r w:rsidR="009815B7" w:rsidRPr="00C17D9E">
        <w:t>ACCJC</w:t>
      </w:r>
      <w:r w:rsidR="00962B99">
        <w:t xml:space="preserve"> </w:t>
      </w:r>
      <w:r w:rsidRPr="00C17D9E">
        <w:t xml:space="preserve"> for approval.</w:t>
      </w:r>
    </w:p>
    <w:p w:rsidR="00827814" w:rsidRPr="00C17D9E" w:rsidRDefault="00827814" w:rsidP="00B96A1A">
      <w:pPr>
        <w:numPr>
          <w:ilvl w:val="0"/>
          <w:numId w:val="3"/>
        </w:numPr>
      </w:pPr>
      <w:r w:rsidRPr="00C17D9E">
        <w:t xml:space="preserve">Arrangements will be made with the appropriate agencies (federal or </w:t>
      </w:r>
      <w:r w:rsidR="008B4159">
        <w:t>State</w:t>
      </w:r>
      <w:r w:rsidRPr="00C17D9E">
        <w:t xml:space="preserve"> grants), to transfer the grants t</w:t>
      </w:r>
      <w:r w:rsidR="00116E36">
        <w:t>o the receiving institutions. For student-</w:t>
      </w:r>
      <w:r w:rsidRPr="00C17D9E">
        <w:t xml:space="preserve">held scholarships or grants or other available funds that can be legally used, appropriate agreements must be negotiated or students must be fully informed.  </w:t>
      </w:r>
    </w:p>
    <w:p w:rsidR="006454DE" w:rsidRPr="00C17D9E" w:rsidRDefault="008867A9" w:rsidP="00B96A1A">
      <w:pPr>
        <w:numPr>
          <w:ilvl w:val="0"/>
          <w:numId w:val="3"/>
        </w:numPr>
      </w:pPr>
      <w:r w:rsidRPr="00C17D9E">
        <w:t>For s</w:t>
      </w:r>
      <w:r w:rsidR="00EE0871" w:rsidRPr="00C17D9E">
        <w:t>tudents who have completed 75</w:t>
      </w:r>
      <w:r w:rsidR="000E6BE5">
        <w:t xml:space="preserve"> </w:t>
      </w:r>
      <w:r w:rsidR="00116E36">
        <w:t>percent</w:t>
      </w:r>
      <w:r w:rsidR="00EE0871" w:rsidRPr="00C17D9E">
        <w:t xml:space="preserve"> of an academic degree and educational program, arrangements shall be made to permit that student to complete the requirements for a degree and educational program elsewhere or through any approved partnerships, but to receive the degree and educational program from the closed institution. Arrangements shall be made with ACCJC for continuation of the </w:t>
      </w:r>
      <w:r w:rsidR="00862B58">
        <w:t>College</w:t>
      </w:r>
      <w:r w:rsidR="00EE0871" w:rsidRPr="00C17D9E">
        <w:t>’s accreditation by the ACCJC for this purpose only. These steps (</w:t>
      </w:r>
      <w:r w:rsidR="00116E36">
        <w:t xml:space="preserve">for which </w:t>
      </w:r>
      <w:r w:rsidR="00EE0871" w:rsidRPr="00C17D9E">
        <w:t xml:space="preserve">written ACCJC consent required) normally require the institution to continue as a legal corporate entity for 12-18 months beyond the closing date.  Once the </w:t>
      </w:r>
      <w:r w:rsidR="00862B58">
        <w:t>College</w:t>
      </w:r>
      <w:r w:rsidR="00EE0871" w:rsidRPr="00C17D9E">
        <w:t xml:space="preserve">’s accreditation is terminated, </w:t>
      </w:r>
      <w:r w:rsidR="00116E36">
        <w:t>it</w:t>
      </w:r>
      <w:r w:rsidR="00EE0871" w:rsidRPr="00C17D9E">
        <w:t xml:space="preserve"> will no longer be authorized to award accredited degrees.</w:t>
      </w:r>
    </w:p>
    <w:p w:rsidR="000D3428" w:rsidRPr="00C17D9E" w:rsidRDefault="009815B7" w:rsidP="00B96A1A">
      <w:pPr>
        <w:numPr>
          <w:ilvl w:val="0"/>
          <w:numId w:val="3"/>
        </w:numPr>
      </w:pPr>
      <w:r w:rsidRPr="00C17D9E">
        <w:t>If accreditation is removed, a</w:t>
      </w:r>
      <w:r w:rsidR="00BB6829" w:rsidRPr="00C17D9E">
        <w:t xml:space="preserve"> l</w:t>
      </w:r>
      <w:r w:rsidR="000D3428" w:rsidRPr="00C17D9E">
        <w:t>ist of students who have completed 75</w:t>
      </w:r>
      <w:r w:rsidR="000E6BE5">
        <w:t xml:space="preserve"> </w:t>
      </w:r>
      <w:r w:rsidR="00116E36">
        <w:t>percent</w:t>
      </w:r>
      <w:r w:rsidR="000D3428" w:rsidRPr="00C17D9E">
        <w:t xml:space="preserve"> of an academic degree/educational program/certificate program</w:t>
      </w:r>
      <w:r w:rsidR="00116E36">
        <w:t xml:space="preserve"> by the end of S</w:t>
      </w:r>
      <w:r w:rsidR="009875B4" w:rsidRPr="00C17D9E">
        <w:t>pring 2013</w:t>
      </w:r>
      <w:r w:rsidR="00BB6829" w:rsidRPr="00C17D9E">
        <w:t xml:space="preserve"> semest</w:t>
      </w:r>
      <w:r w:rsidR="00E9165A" w:rsidRPr="00C17D9E">
        <w:t xml:space="preserve">er </w:t>
      </w:r>
      <w:r w:rsidRPr="00C17D9E">
        <w:t>will be</w:t>
      </w:r>
      <w:r w:rsidR="00BB6829" w:rsidRPr="00C17D9E">
        <w:t xml:space="preserve"> generated.</w:t>
      </w:r>
      <w:r w:rsidRPr="00C17D9E">
        <w:t xml:space="preserve"> </w:t>
      </w:r>
      <w:r w:rsidR="00C54570" w:rsidRPr="00C17D9E">
        <w:t xml:space="preserve">Included with the final transcript, there will be a letter addressing the </w:t>
      </w:r>
      <w:r w:rsidR="00862B58">
        <w:t>College</w:t>
      </w:r>
      <w:r w:rsidR="00C54570" w:rsidRPr="00C17D9E">
        <w:t>’s accreditation status and the student’s eligibility for transfer.</w:t>
      </w:r>
      <w:r w:rsidR="000007C6" w:rsidRPr="00C17D9E">
        <w:t xml:space="preserve"> </w:t>
      </w:r>
      <w:r w:rsidRPr="00C17D9E">
        <w:t xml:space="preserve">If applicable, </w:t>
      </w:r>
      <w:r w:rsidR="000007C6" w:rsidRPr="00C17D9E">
        <w:t xml:space="preserve">The University of California and the California </w:t>
      </w:r>
      <w:r w:rsidR="008B4159">
        <w:t>State</w:t>
      </w:r>
      <w:r w:rsidR="000007C6" w:rsidRPr="00C17D9E">
        <w:t xml:space="preserve"> University campuses </w:t>
      </w:r>
      <w:r w:rsidR="00E9165A" w:rsidRPr="00C17D9E">
        <w:t xml:space="preserve">as well other institutions </w:t>
      </w:r>
      <w:r w:rsidRPr="00C17D9E">
        <w:t>will receive</w:t>
      </w:r>
      <w:r w:rsidR="000007C6" w:rsidRPr="00C17D9E">
        <w:t xml:space="preserve"> </w:t>
      </w:r>
      <w:r w:rsidRPr="00C17D9E">
        <w:t xml:space="preserve">correspondence from the </w:t>
      </w:r>
      <w:r w:rsidR="000007C6" w:rsidRPr="00C17D9E">
        <w:t>President</w:t>
      </w:r>
      <w:r w:rsidR="0010781F" w:rsidRPr="00C17D9E">
        <w:t>/ Superintendent</w:t>
      </w:r>
      <w:r w:rsidR="000007C6" w:rsidRPr="00C17D9E">
        <w:t xml:space="preserve"> on the </w:t>
      </w:r>
      <w:r w:rsidR="00862B58">
        <w:t>College</w:t>
      </w:r>
      <w:r w:rsidR="000007C6" w:rsidRPr="00C17D9E">
        <w:t>’s accreditation status.</w:t>
      </w:r>
    </w:p>
    <w:p w:rsidR="00E9165A" w:rsidRPr="00C17D9E" w:rsidRDefault="001C2C9A" w:rsidP="00B96A1A">
      <w:pPr>
        <w:numPr>
          <w:ilvl w:val="0"/>
          <w:numId w:val="3"/>
        </w:numPr>
      </w:pPr>
      <w:r w:rsidRPr="00C17D9E">
        <w:t>The Vice President of Student Development</w:t>
      </w:r>
      <w:r w:rsidR="00E9165A" w:rsidRPr="00C17D9E">
        <w:t xml:space="preserve"> will </w:t>
      </w:r>
      <w:r w:rsidR="009815B7" w:rsidRPr="00C17D9E">
        <w:t xml:space="preserve">be responsible for </w:t>
      </w:r>
      <w:r w:rsidR="00E9165A" w:rsidRPr="00C17D9E">
        <w:t>n</w:t>
      </w:r>
      <w:r w:rsidR="009815B7" w:rsidRPr="00C17D9E">
        <w:t xml:space="preserve">otifying </w:t>
      </w:r>
      <w:r w:rsidR="00E9165A" w:rsidRPr="00C17D9E">
        <w:t>students who have completed 75</w:t>
      </w:r>
      <w:r w:rsidR="000E6BE5">
        <w:t xml:space="preserve"> </w:t>
      </w:r>
      <w:r w:rsidR="00116E36">
        <w:t>percent</w:t>
      </w:r>
      <w:r w:rsidR="00E9165A" w:rsidRPr="00C17D9E">
        <w:t xml:space="preserve"> of an academic degree/educational program or certification program of their potential graduation/completion status. </w:t>
      </w:r>
      <w:r w:rsidR="001A7722" w:rsidRPr="00C17D9E">
        <w:t>Students will be info</w:t>
      </w:r>
      <w:r w:rsidR="00116E36">
        <w:t xml:space="preserve">rmed of their status for degree or </w:t>
      </w:r>
      <w:r w:rsidR="001A7722" w:rsidRPr="00C17D9E">
        <w:t>certificate and</w:t>
      </w:r>
      <w:r w:rsidR="00116E36">
        <w:t xml:space="preserve"> their option to receive degree or </w:t>
      </w:r>
      <w:r w:rsidR="001A7722" w:rsidRPr="00C17D9E">
        <w:t xml:space="preserve">certificate under </w:t>
      </w:r>
      <w:r w:rsidR="00116E36">
        <w:t>CR</w:t>
      </w:r>
      <w:r w:rsidRPr="00C17D9E">
        <w:t xml:space="preserve"> </w:t>
      </w:r>
      <w:r w:rsidR="00893B2C" w:rsidRPr="00C17D9E">
        <w:t>or other institutions</w:t>
      </w:r>
      <w:r w:rsidR="00D97F15" w:rsidRPr="00C17D9E">
        <w:t xml:space="preserve"> if they are to complete the r</w:t>
      </w:r>
      <w:r w:rsidR="00893B2C" w:rsidRPr="00C17D9E">
        <w:t>espective curriculum</w:t>
      </w:r>
      <w:r w:rsidR="001A7722" w:rsidRPr="00C17D9E">
        <w:t>.</w:t>
      </w:r>
      <w:r w:rsidR="00D97F15" w:rsidRPr="00C17D9E">
        <w:t xml:space="preserve">  </w:t>
      </w:r>
      <w:r w:rsidR="00893B2C" w:rsidRPr="00C17D9E">
        <w:t>After a loss of accre</w:t>
      </w:r>
      <w:r w:rsidRPr="00C17D9E">
        <w:t>ditation, CR</w:t>
      </w:r>
      <w:r w:rsidR="00893B2C" w:rsidRPr="00C17D9E">
        <w:t xml:space="preserve"> students would have no other option except to transfer to another accredited institution.</w:t>
      </w:r>
      <w:r w:rsidR="008A2D39" w:rsidRPr="00C17D9E">
        <w:rPr>
          <w:color w:val="FF0000"/>
        </w:rPr>
        <w:t xml:space="preserve"> </w:t>
      </w:r>
    </w:p>
    <w:p w:rsidR="00BB6829" w:rsidRPr="00C17D9E" w:rsidRDefault="00BB6829" w:rsidP="00B96A1A">
      <w:pPr>
        <w:numPr>
          <w:ilvl w:val="0"/>
          <w:numId w:val="3"/>
        </w:numPr>
      </w:pPr>
      <w:r w:rsidRPr="00C17D9E">
        <w:t xml:space="preserve">Since </w:t>
      </w:r>
      <w:r w:rsidR="00827814" w:rsidRPr="00C17D9E">
        <w:t>CR</w:t>
      </w:r>
      <w:r w:rsidRPr="00C17D9E">
        <w:t xml:space="preserve"> is a public institution, credits earned from the </w:t>
      </w:r>
      <w:r w:rsidR="00862B58">
        <w:t>College</w:t>
      </w:r>
      <w:r w:rsidR="000F1B8C" w:rsidRPr="00C17D9E">
        <w:t xml:space="preserve"> will be accepted by other </w:t>
      </w:r>
      <w:r w:rsidR="00862B58">
        <w:t>College</w:t>
      </w:r>
      <w:r w:rsidRPr="00C17D9E">
        <w:t>s</w:t>
      </w:r>
      <w:r w:rsidR="000F1B8C" w:rsidRPr="00C17D9E">
        <w:t xml:space="preserve"> and universities</w:t>
      </w:r>
      <w:r w:rsidRPr="00C17D9E">
        <w:t xml:space="preserve">.  The </w:t>
      </w:r>
      <w:r w:rsidR="00862B58">
        <w:t>College</w:t>
      </w:r>
      <w:r w:rsidRPr="00C17D9E">
        <w:t xml:space="preserve"> will issue a letter for each studen</w:t>
      </w:r>
      <w:r w:rsidR="00C54570" w:rsidRPr="00C17D9E">
        <w:t xml:space="preserve">t indicating the </w:t>
      </w:r>
      <w:r w:rsidR="00E9165A" w:rsidRPr="00C17D9E">
        <w:t>closure</w:t>
      </w:r>
      <w:r w:rsidR="00C54570" w:rsidRPr="00C17D9E">
        <w:t xml:space="preserve"> of the </w:t>
      </w:r>
      <w:r w:rsidR="00862B58">
        <w:t>College</w:t>
      </w:r>
      <w:r w:rsidRPr="00C17D9E">
        <w:t xml:space="preserve"> and to ensure the acceptance of the credits by other accredited institutions.</w:t>
      </w:r>
      <w:r w:rsidR="00DE3CC0" w:rsidRPr="00C17D9E">
        <w:t xml:space="preserve">  </w:t>
      </w:r>
      <w:r w:rsidR="00893B2C" w:rsidRPr="00C17D9E">
        <w:t>If applicable, t</w:t>
      </w:r>
      <w:r w:rsidR="00DE3CC0" w:rsidRPr="00C17D9E">
        <w:t>he President</w:t>
      </w:r>
      <w:r w:rsidR="00D05748">
        <w:t>/Superintendent</w:t>
      </w:r>
      <w:r w:rsidR="00DE3CC0" w:rsidRPr="00C17D9E">
        <w:t xml:space="preserve"> of </w:t>
      </w:r>
      <w:r w:rsidR="00862B58">
        <w:t>College</w:t>
      </w:r>
      <w:r w:rsidR="00DE3CC0" w:rsidRPr="00C17D9E">
        <w:t xml:space="preserve"> </w:t>
      </w:r>
      <w:r w:rsidR="001C2C9A" w:rsidRPr="00C17D9E">
        <w:t xml:space="preserve">of the Redwoods </w:t>
      </w:r>
      <w:r w:rsidR="00DE3CC0" w:rsidRPr="00C17D9E">
        <w:t xml:space="preserve">will </w:t>
      </w:r>
      <w:r w:rsidR="00244EE9" w:rsidRPr="00C17D9E">
        <w:t xml:space="preserve">send </w:t>
      </w:r>
      <w:r w:rsidR="00862B58">
        <w:t>College</w:t>
      </w:r>
      <w:r w:rsidR="00244EE9" w:rsidRPr="00C17D9E">
        <w:t xml:space="preserve"> closure notifications to the</w:t>
      </w:r>
      <w:r w:rsidR="000F1B8C" w:rsidRPr="00C17D9E">
        <w:t xml:space="preserve"> neighboring </w:t>
      </w:r>
      <w:r w:rsidR="00862B58">
        <w:t>College</w:t>
      </w:r>
      <w:r w:rsidR="000F1B8C" w:rsidRPr="00C17D9E">
        <w:t xml:space="preserve">s for them to </w:t>
      </w:r>
      <w:r w:rsidR="00DE3CC0" w:rsidRPr="00C17D9E">
        <w:t>accept the students</w:t>
      </w:r>
      <w:r w:rsidR="00605DC8" w:rsidRPr="00C17D9E">
        <w:t xml:space="preserve"> and their credits</w:t>
      </w:r>
      <w:r w:rsidR="00893B2C" w:rsidRPr="00C17D9E">
        <w:t xml:space="preserve"> before any</w:t>
      </w:r>
      <w:r w:rsidR="000B4F71" w:rsidRPr="00C17D9E">
        <w:t xml:space="preserve"> termination date</w:t>
      </w:r>
      <w:r w:rsidR="00893B2C" w:rsidRPr="00C17D9E">
        <w:t>.</w:t>
      </w:r>
    </w:p>
    <w:p w:rsidR="00BB6829" w:rsidRPr="00C17D9E" w:rsidRDefault="00BB6829" w:rsidP="00B96A1A">
      <w:pPr>
        <w:numPr>
          <w:ilvl w:val="0"/>
          <w:numId w:val="3"/>
        </w:numPr>
      </w:pPr>
      <w:r w:rsidRPr="00C17D9E">
        <w:lastRenderedPageBreak/>
        <w:t xml:space="preserve">The </w:t>
      </w:r>
      <w:r w:rsidR="00862B58">
        <w:t>College</w:t>
      </w:r>
      <w:r w:rsidRPr="00C17D9E">
        <w:t xml:space="preserve"> will provide each student with the most up-to-date transcript</w:t>
      </w:r>
      <w:r w:rsidR="000F1B8C" w:rsidRPr="00C17D9E">
        <w:t xml:space="preserve"> at the time of request</w:t>
      </w:r>
      <w:r w:rsidRPr="00C17D9E">
        <w:t xml:space="preserve">.  The </w:t>
      </w:r>
      <w:r w:rsidR="00862B58">
        <w:t>College</w:t>
      </w:r>
      <w:r w:rsidRPr="00C17D9E">
        <w:t xml:space="preserve"> will also provide information to the students by mail and </w:t>
      </w:r>
      <w:r w:rsidR="00282263" w:rsidRPr="00C17D9E">
        <w:t>telephone hotlines</w:t>
      </w:r>
      <w:r w:rsidR="00C54570" w:rsidRPr="00C17D9E">
        <w:t>,</w:t>
      </w:r>
      <w:r w:rsidR="00282263" w:rsidRPr="00C17D9E">
        <w:t xml:space="preserve"> </w:t>
      </w:r>
      <w:r w:rsidR="00C54570" w:rsidRPr="00C17D9E">
        <w:t xml:space="preserve">and </w:t>
      </w:r>
      <w:r w:rsidR="00BB45B5">
        <w:t>through</w:t>
      </w:r>
      <w:r w:rsidRPr="00C17D9E">
        <w:t xml:space="preserve"> the </w:t>
      </w:r>
      <w:r w:rsidR="00862B58">
        <w:t>College</w:t>
      </w:r>
      <w:r w:rsidRPr="00C17D9E">
        <w:t>’s website to inform students where they can retrieve a copy of their transcripts.</w:t>
      </w:r>
      <w:r w:rsidR="00282263" w:rsidRPr="00C17D9E">
        <w:t xml:space="preserve">  Communication will also be made available in Spanish.</w:t>
      </w:r>
    </w:p>
    <w:p w:rsidR="000D3428" w:rsidRPr="00C17D9E" w:rsidRDefault="000D3428" w:rsidP="00B96A1A"/>
    <w:p w:rsidR="000D3428" w:rsidRPr="008B4C29" w:rsidRDefault="000D3428" w:rsidP="008B4C29">
      <w:pPr>
        <w:pStyle w:val="ListParagraph"/>
        <w:numPr>
          <w:ilvl w:val="0"/>
          <w:numId w:val="20"/>
        </w:numPr>
        <w:outlineLvl w:val="0"/>
        <w:rPr>
          <w:b/>
        </w:rPr>
      </w:pPr>
      <w:r w:rsidRPr="008B4C29">
        <w:rPr>
          <w:b/>
        </w:rPr>
        <w:t>Disposition of Academic Records and Financial Aid Transcripts</w:t>
      </w:r>
      <w:r w:rsidR="008C3E6C">
        <w:rPr>
          <w:b/>
        </w:rPr>
        <w:t>:</w:t>
      </w:r>
    </w:p>
    <w:p w:rsidR="008B4C29" w:rsidRPr="008B4C29" w:rsidRDefault="008B4C29" w:rsidP="008B4C29">
      <w:pPr>
        <w:pStyle w:val="ListParagraph"/>
        <w:outlineLvl w:val="0"/>
        <w:rPr>
          <w:b/>
        </w:rPr>
      </w:pPr>
    </w:p>
    <w:p w:rsidR="0037665C" w:rsidRPr="0042728F" w:rsidRDefault="00EB2F6B" w:rsidP="00B96A1A">
      <w:pPr>
        <w:pStyle w:val="ListParagraph"/>
        <w:numPr>
          <w:ilvl w:val="0"/>
          <w:numId w:val="21"/>
        </w:numPr>
      </w:pPr>
      <w:r>
        <w:t>The</w:t>
      </w:r>
      <w:r w:rsidR="0042728F" w:rsidRPr="0042728F">
        <w:t xml:space="preserve"> </w:t>
      </w:r>
      <w:r w:rsidR="00007BE7">
        <w:t>District</w:t>
      </w:r>
      <w:r w:rsidR="0042728F" w:rsidRPr="0042728F">
        <w:t xml:space="preserve"> </w:t>
      </w:r>
      <w:r w:rsidR="001E0506" w:rsidRPr="0042728F">
        <w:t>has taken</w:t>
      </w:r>
      <w:r w:rsidR="00893B2C" w:rsidRPr="0042728F">
        <w:t xml:space="preserve"> steps to </w:t>
      </w:r>
      <w:r w:rsidR="00401AD7" w:rsidRPr="0042728F">
        <w:t xml:space="preserve">digitize and microfilm student </w:t>
      </w:r>
      <w:r w:rsidR="00282263" w:rsidRPr="0042728F">
        <w:t xml:space="preserve">files.  </w:t>
      </w:r>
      <w:r w:rsidR="0037665C" w:rsidRPr="0042728F">
        <w:t xml:space="preserve">Student records have been electronic since </w:t>
      </w:r>
      <w:r w:rsidR="00116E36">
        <w:t>Fall</w:t>
      </w:r>
      <w:r w:rsidR="0037665C" w:rsidRPr="0042728F">
        <w:t xml:space="preserve"> 1985. </w:t>
      </w:r>
      <w:r>
        <w:t>CR</w:t>
      </w:r>
      <w:r w:rsidR="0037665C" w:rsidRPr="0042728F">
        <w:t xml:space="preserve"> student records from 1985 t</w:t>
      </w:r>
      <w:r>
        <w:t>hrough the academic year 2011-</w:t>
      </w:r>
      <w:r w:rsidR="0037665C" w:rsidRPr="0042728F">
        <w:t>12 are stored in the Colleague Datatel/Ellucian Student Information System.  Records from 1963 through 1985 are on microfilm. Records from 2004 to the current date are scanned and are accessible via Softdocs.</w:t>
      </w:r>
    </w:p>
    <w:p w:rsidR="00282263" w:rsidRPr="00C17D9E" w:rsidRDefault="001D4AF8" w:rsidP="00B96A1A">
      <w:pPr>
        <w:numPr>
          <w:ilvl w:val="0"/>
          <w:numId w:val="4"/>
        </w:numPr>
      </w:pPr>
      <w:r w:rsidRPr="00C17D9E">
        <w:t>A</w:t>
      </w:r>
      <w:r w:rsidR="00605DC8" w:rsidRPr="00C17D9E">
        <w:t xml:space="preserve"> vendor </w:t>
      </w:r>
      <w:r w:rsidR="001E0506" w:rsidRPr="00C17D9E">
        <w:t>has been</w:t>
      </w:r>
      <w:r w:rsidRPr="00C17D9E">
        <w:t xml:space="preserve"> secured </w:t>
      </w:r>
      <w:r w:rsidR="00605DC8" w:rsidRPr="00C17D9E">
        <w:t>to digitize financial aid records, human resources records, and business office records</w:t>
      </w:r>
      <w:r w:rsidR="00242683" w:rsidRPr="00C17D9E">
        <w:t xml:space="preserve">. </w:t>
      </w:r>
      <w:r w:rsidR="00605DC8" w:rsidRPr="00C17D9E">
        <w:t xml:space="preserve"> </w:t>
      </w:r>
      <w:r w:rsidR="00BC15A7" w:rsidRPr="00C17D9E">
        <w:t xml:space="preserve">A vendor has been secured to </w:t>
      </w:r>
      <w:r w:rsidR="00A657F1" w:rsidRPr="00C17D9E">
        <w:t xml:space="preserve">digitize and </w:t>
      </w:r>
      <w:r w:rsidR="00EB2F6B">
        <w:t>store financial a</w:t>
      </w:r>
      <w:r w:rsidR="00BC15A7" w:rsidRPr="00C17D9E">
        <w:t>id records from the 2009-10 and 2010-11 years in a secure climate-</w:t>
      </w:r>
      <w:r w:rsidR="00827814" w:rsidRPr="00C17D9E">
        <w:t xml:space="preserve">controlled </w:t>
      </w:r>
      <w:r w:rsidR="00BC15A7" w:rsidRPr="00C17D9E">
        <w:t xml:space="preserve">facility </w:t>
      </w:r>
      <w:r w:rsidR="00F035A6" w:rsidRPr="00C17D9E">
        <w:t xml:space="preserve">where all records </w:t>
      </w:r>
      <w:r w:rsidR="00BC15A7" w:rsidRPr="00C17D9E">
        <w:t>are easily accessible.</w:t>
      </w:r>
      <w:r w:rsidR="00BC15A7" w:rsidRPr="00C17D9E">
        <w:rPr>
          <w:b/>
          <w:i/>
        </w:rPr>
        <w:t xml:space="preserve"> </w:t>
      </w:r>
      <w:r w:rsidR="0085617A" w:rsidRPr="00C17D9E">
        <w:t>The financial aid records are also stored electronically and</w:t>
      </w:r>
      <w:r w:rsidR="00893B2C" w:rsidRPr="00C17D9E">
        <w:t xml:space="preserve"> can be accessed through the </w:t>
      </w:r>
      <w:r w:rsidR="00BC15A7" w:rsidRPr="00C17D9E">
        <w:t>Colleague Datatel/Ellucian Student Information System</w:t>
      </w:r>
      <w:r w:rsidR="00893B2C" w:rsidRPr="00C17D9E">
        <w:t>.</w:t>
      </w:r>
    </w:p>
    <w:p w:rsidR="000D3428" w:rsidRPr="00C17D9E" w:rsidRDefault="000444AB" w:rsidP="00B96A1A">
      <w:pPr>
        <w:numPr>
          <w:ilvl w:val="0"/>
          <w:numId w:val="4"/>
        </w:numPr>
      </w:pPr>
      <w:r w:rsidRPr="00C17D9E">
        <w:t xml:space="preserve">The </w:t>
      </w:r>
      <w:r w:rsidR="00862B58">
        <w:t>College</w:t>
      </w:r>
      <w:r w:rsidRPr="00C17D9E">
        <w:t xml:space="preserve"> will n</w:t>
      </w:r>
      <w:r w:rsidR="000D3428" w:rsidRPr="00C17D9E">
        <w:t>otify ACCJC and students of the location of stored records and accessibility</w:t>
      </w:r>
      <w:r w:rsidRPr="00C17D9E">
        <w:t xml:space="preserve"> once the process has been </w:t>
      </w:r>
      <w:r w:rsidR="001D4AF8" w:rsidRPr="00C17D9E">
        <w:t>complete</w:t>
      </w:r>
      <w:r w:rsidRPr="00C17D9E">
        <w:t>d.</w:t>
      </w:r>
      <w:r w:rsidR="00D55C9E" w:rsidRPr="00C17D9E">
        <w:t xml:space="preserve">  The </w:t>
      </w:r>
      <w:r w:rsidR="00862B58">
        <w:t>College</w:t>
      </w:r>
      <w:r w:rsidR="00D55C9E" w:rsidRPr="00C17D9E">
        <w:t xml:space="preserve"> will </w:t>
      </w:r>
      <w:r w:rsidR="009069B2" w:rsidRPr="00C17D9E">
        <w:t xml:space="preserve">also </w:t>
      </w:r>
      <w:r w:rsidR="00D55C9E" w:rsidRPr="00C17D9E">
        <w:t xml:space="preserve">work with the </w:t>
      </w:r>
      <w:r w:rsidR="008B4159">
        <w:t>State</w:t>
      </w:r>
      <w:r w:rsidR="00D55C9E" w:rsidRPr="00C17D9E">
        <w:t xml:space="preserve"> Chancellor’s Office to contract with an entity to electronically store all transcripts and provide the students with the process to order them.</w:t>
      </w:r>
    </w:p>
    <w:p w:rsidR="000D3428" w:rsidRPr="00C17D9E" w:rsidRDefault="000444AB" w:rsidP="00B96A1A">
      <w:pPr>
        <w:numPr>
          <w:ilvl w:val="0"/>
          <w:numId w:val="4"/>
        </w:numPr>
      </w:pPr>
      <w:r w:rsidRPr="00C17D9E">
        <w:t xml:space="preserve">The </w:t>
      </w:r>
      <w:r w:rsidR="00007BE7">
        <w:t>District</w:t>
      </w:r>
      <w:r w:rsidR="0010781F" w:rsidRPr="00C17D9E">
        <w:t xml:space="preserve"> </w:t>
      </w:r>
      <w:r w:rsidRPr="00C17D9E">
        <w:t xml:space="preserve">will announce the process and procedure on how students can obtain their transcripts through the news media </w:t>
      </w:r>
      <w:r w:rsidR="00DB578A" w:rsidRPr="00C17D9E">
        <w:t xml:space="preserve">in </w:t>
      </w:r>
      <w:r w:rsidRPr="00C17D9E">
        <w:t xml:space="preserve">both English and Spanish and arrange for </w:t>
      </w:r>
      <w:r w:rsidR="006C529A">
        <w:t xml:space="preserve">the </w:t>
      </w:r>
      <w:r w:rsidRPr="00C17D9E">
        <w:t>Admissions and Records Office to be open for pick</w:t>
      </w:r>
      <w:r w:rsidR="00827814" w:rsidRPr="00C17D9E">
        <w:t>-</w:t>
      </w:r>
      <w:r w:rsidRPr="00C17D9E">
        <w:t>ups</w:t>
      </w:r>
      <w:r w:rsidR="00D55C9E" w:rsidRPr="00C17D9E">
        <w:t xml:space="preserve"> </w:t>
      </w:r>
      <w:r w:rsidR="00DB578A" w:rsidRPr="00C17D9E">
        <w:t>as campus closure is in effect</w:t>
      </w:r>
      <w:r w:rsidRPr="00C17D9E">
        <w:t xml:space="preserve">.  </w:t>
      </w:r>
      <w:r w:rsidR="006C529A">
        <w:t>CR</w:t>
      </w:r>
      <w:r w:rsidR="001C2C9A" w:rsidRPr="00C17D9E">
        <w:t xml:space="preserve"> </w:t>
      </w:r>
      <w:r w:rsidR="002D154E" w:rsidRPr="00C17D9E">
        <w:t>will</w:t>
      </w:r>
      <w:r w:rsidR="00DB578A" w:rsidRPr="00C17D9E">
        <w:t xml:space="preserve"> </w:t>
      </w:r>
      <w:r w:rsidR="00282263" w:rsidRPr="00C17D9E">
        <w:t xml:space="preserve">set up a </w:t>
      </w:r>
      <w:r w:rsidR="00827814" w:rsidRPr="00C17D9E">
        <w:t>dedicated phone number</w:t>
      </w:r>
      <w:r w:rsidR="001E0506" w:rsidRPr="00C17D9E">
        <w:t xml:space="preserve"> that will be</w:t>
      </w:r>
      <w:r w:rsidR="00827814" w:rsidRPr="00C17D9E">
        <w:t xml:space="preserve"> prominently displayed on the existing </w:t>
      </w:r>
      <w:r w:rsidR="00862B58">
        <w:t>College</w:t>
      </w:r>
      <w:r w:rsidR="00827814" w:rsidRPr="00C17D9E">
        <w:t xml:space="preserve"> </w:t>
      </w:r>
      <w:r w:rsidR="00D55C9E" w:rsidRPr="00C17D9E">
        <w:t xml:space="preserve">which </w:t>
      </w:r>
      <w:r w:rsidR="006C529A">
        <w:t>will be continuously maintained.</w:t>
      </w:r>
      <w:r w:rsidR="00D55C9E" w:rsidRPr="00C17D9E">
        <w:t xml:space="preserve"> </w:t>
      </w:r>
      <w:r w:rsidR="006C529A">
        <w:t>S</w:t>
      </w:r>
      <w:r w:rsidR="00282263" w:rsidRPr="00C17D9E">
        <w:t>tudents</w:t>
      </w:r>
      <w:r w:rsidR="001E0506" w:rsidRPr="00C17D9E">
        <w:t xml:space="preserve"> will be given</w:t>
      </w:r>
      <w:r w:rsidR="00282263" w:rsidRPr="00C17D9E">
        <w:t xml:space="preserve"> instructions on how and where they can order transcripts.</w:t>
      </w:r>
    </w:p>
    <w:p w:rsidR="000D3428" w:rsidRPr="00C17D9E" w:rsidRDefault="000D3428" w:rsidP="00B96A1A"/>
    <w:p w:rsidR="000D3428" w:rsidRPr="008B4C29" w:rsidRDefault="000D3428" w:rsidP="00B96A1A">
      <w:pPr>
        <w:outlineLvl w:val="0"/>
        <w:rPr>
          <w:rStyle w:val="Strong"/>
        </w:rPr>
      </w:pPr>
      <w:r w:rsidRPr="008B4C29">
        <w:rPr>
          <w:rStyle w:val="Strong"/>
        </w:rPr>
        <w:t>C.  Provisions for Faculty and Staff</w:t>
      </w:r>
      <w:r w:rsidR="008C3E6C">
        <w:rPr>
          <w:rStyle w:val="Strong"/>
        </w:rPr>
        <w:t>:</w:t>
      </w:r>
    </w:p>
    <w:p w:rsidR="006E1845" w:rsidRPr="00C17D9E" w:rsidRDefault="006E1845" w:rsidP="00B96A1A">
      <w:pPr>
        <w:outlineLvl w:val="0"/>
        <w:rPr>
          <w:b/>
        </w:rPr>
      </w:pPr>
    </w:p>
    <w:p w:rsidR="008867A9" w:rsidRPr="00C17D9E" w:rsidRDefault="006E1845" w:rsidP="00B96A1A">
      <w:pPr>
        <w:numPr>
          <w:ilvl w:val="0"/>
          <w:numId w:val="6"/>
        </w:numPr>
      </w:pPr>
      <w:r w:rsidRPr="00C17D9E">
        <w:t xml:space="preserve">In the event of closure, CR will </w:t>
      </w:r>
      <w:r w:rsidR="000334A4" w:rsidRPr="00C17D9E">
        <w:t xml:space="preserve">inform each constituency as fully and as early as possible. </w:t>
      </w:r>
    </w:p>
    <w:p w:rsidR="008867A9" w:rsidRPr="00C17D9E" w:rsidRDefault="008867A9" w:rsidP="00B96A1A">
      <w:pPr>
        <w:numPr>
          <w:ilvl w:val="0"/>
          <w:numId w:val="6"/>
        </w:numPr>
      </w:pPr>
      <w:r w:rsidRPr="00C17D9E">
        <w:t>The institution can make no guarantees but will genuinely and in good faith assist faculty and staff in finding alternative employment.</w:t>
      </w:r>
    </w:p>
    <w:p w:rsidR="000007C6" w:rsidRPr="00C17D9E" w:rsidRDefault="002D154E" w:rsidP="00B96A1A">
      <w:pPr>
        <w:numPr>
          <w:ilvl w:val="0"/>
          <w:numId w:val="6"/>
        </w:numPr>
      </w:pPr>
      <w:r w:rsidRPr="00C17D9E">
        <w:t>In the event of closure, a</w:t>
      </w:r>
      <w:r w:rsidR="000007C6" w:rsidRPr="00C17D9E">
        <w:t xml:space="preserve">ll certificated employees </w:t>
      </w:r>
      <w:r w:rsidRPr="00C17D9E">
        <w:t xml:space="preserve">would receive </w:t>
      </w:r>
      <w:r w:rsidR="0010781F" w:rsidRPr="00C17D9E">
        <w:t>a</w:t>
      </w:r>
      <w:r w:rsidR="000007C6" w:rsidRPr="00C17D9E">
        <w:t xml:space="preserve"> March </w:t>
      </w:r>
      <w:r w:rsidRPr="00C17D9E">
        <w:t xml:space="preserve">15 notices.  </w:t>
      </w:r>
    </w:p>
    <w:p w:rsidR="000007C6" w:rsidRPr="00C17D9E" w:rsidRDefault="002D154E" w:rsidP="00B96A1A">
      <w:pPr>
        <w:numPr>
          <w:ilvl w:val="0"/>
          <w:numId w:val="6"/>
        </w:numPr>
      </w:pPr>
      <w:r w:rsidRPr="00C17D9E">
        <w:t>In the event of closure, a</w:t>
      </w:r>
      <w:r w:rsidR="000007C6" w:rsidRPr="00C17D9E">
        <w:t xml:space="preserve">ll classified employees </w:t>
      </w:r>
      <w:r w:rsidRPr="00C17D9E">
        <w:t xml:space="preserve">would </w:t>
      </w:r>
      <w:r w:rsidR="001C2C9A" w:rsidRPr="00C17D9E">
        <w:t>receive</w:t>
      </w:r>
      <w:r w:rsidR="005B6183">
        <w:t xml:space="preserve"> </w:t>
      </w:r>
      <w:r w:rsidR="004D4515">
        <w:t>lay-off notices with the provisions in Education Code Sections 45117 and 88017.</w:t>
      </w:r>
    </w:p>
    <w:p w:rsidR="000444AB" w:rsidRPr="00C17D9E" w:rsidRDefault="002D154E" w:rsidP="00B96A1A">
      <w:pPr>
        <w:numPr>
          <w:ilvl w:val="0"/>
          <w:numId w:val="6"/>
        </w:numPr>
      </w:pPr>
      <w:r w:rsidRPr="00C17D9E">
        <w:t>In the event of closure, t</w:t>
      </w:r>
      <w:r w:rsidR="000444AB" w:rsidRPr="00C17D9E">
        <w:t xml:space="preserve">he </w:t>
      </w:r>
      <w:r w:rsidR="00007BE7">
        <w:t>District</w:t>
      </w:r>
      <w:r w:rsidR="006F5518" w:rsidRPr="00C17D9E">
        <w:t xml:space="preserve"> </w:t>
      </w:r>
      <w:r w:rsidRPr="00C17D9E">
        <w:t>would</w:t>
      </w:r>
      <w:r w:rsidR="000444AB" w:rsidRPr="00C17D9E">
        <w:t xml:space="preserve"> contact neighboring </w:t>
      </w:r>
      <w:r w:rsidR="00007BE7">
        <w:t>District</w:t>
      </w:r>
      <w:r w:rsidR="000444AB" w:rsidRPr="00C17D9E">
        <w:t xml:space="preserve">s and </w:t>
      </w:r>
      <w:r w:rsidR="00862B58">
        <w:t>College</w:t>
      </w:r>
      <w:r w:rsidR="001C2C9A" w:rsidRPr="00C17D9E">
        <w:t>s for advertised positions</w:t>
      </w:r>
      <w:r w:rsidR="000444AB" w:rsidRPr="00C17D9E">
        <w:t xml:space="preserve"> and notify the faculty </w:t>
      </w:r>
      <w:r w:rsidR="002D771A" w:rsidRPr="00C17D9E">
        <w:t xml:space="preserve">and staff </w:t>
      </w:r>
      <w:r w:rsidR="001C2C9A" w:rsidRPr="00C17D9E">
        <w:t>of</w:t>
      </w:r>
      <w:r w:rsidR="000444AB" w:rsidRPr="00C17D9E">
        <w:t xml:space="preserve"> the openings.</w:t>
      </w:r>
    </w:p>
    <w:p w:rsidR="000D3428" w:rsidRPr="00C17D9E" w:rsidRDefault="002D154E" w:rsidP="00B96A1A">
      <w:pPr>
        <w:numPr>
          <w:ilvl w:val="0"/>
          <w:numId w:val="6"/>
        </w:numPr>
      </w:pPr>
      <w:r w:rsidRPr="00C17D9E">
        <w:t xml:space="preserve">The </w:t>
      </w:r>
      <w:r w:rsidR="00862B58">
        <w:t>College</w:t>
      </w:r>
      <w:r w:rsidRPr="00C17D9E">
        <w:t xml:space="preserve"> would</w:t>
      </w:r>
      <w:r w:rsidR="000444AB" w:rsidRPr="00C17D9E">
        <w:t xml:space="preserve"> </w:t>
      </w:r>
      <w:r w:rsidR="006F5518" w:rsidRPr="00C17D9E">
        <w:t xml:space="preserve">continue to </w:t>
      </w:r>
      <w:r w:rsidR="000444AB" w:rsidRPr="00C17D9E">
        <w:t>a</w:t>
      </w:r>
      <w:r w:rsidR="000D3428" w:rsidRPr="00C17D9E">
        <w:t xml:space="preserve">ccept resignation or </w:t>
      </w:r>
      <w:r w:rsidR="006F5518" w:rsidRPr="00C17D9E">
        <w:t xml:space="preserve">early </w:t>
      </w:r>
      <w:r w:rsidR="000D3428" w:rsidRPr="00C17D9E">
        <w:t>retirement</w:t>
      </w:r>
      <w:r w:rsidRPr="00C17D9E">
        <w:t>s.</w:t>
      </w:r>
      <w:r w:rsidR="000444AB" w:rsidRPr="00C17D9E">
        <w:t xml:space="preserve"> </w:t>
      </w:r>
    </w:p>
    <w:p w:rsidR="002D771A" w:rsidRPr="00C17D9E" w:rsidRDefault="005108D2" w:rsidP="00B96A1A">
      <w:pPr>
        <w:numPr>
          <w:ilvl w:val="0"/>
          <w:numId w:val="6"/>
        </w:numPr>
      </w:pPr>
      <w:r>
        <w:t>CR</w:t>
      </w:r>
      <w:r w:rsidR="001C2C9A" w:rsidRPr="00C17D9E">
        <w:t xml:space="preserve"> </w:t>
      </w:r>
      <w:r w:rsidR="00B67A25" w:rsidRPr="00C17D9E">
        <w:t>administration is available, upon request,</w:t>
      </w:r>
      <w:r w:rsidR="002D771A" w:rsidRPr="00C17D9E">
        <w:t xml:space="preserve"> to write references for</w:t>
      </w:r>
      <w:r w:rsidR="00B67A25" w:rsidRPr="00C17D9E">
        <w:t xml:space="preserve"> faculty and staff.  In addition, the </w:t>
      </w:r>
      <w:r w:rsidR="00862B58">
        <w:t>College</w:t>
      </w:r>
      <w:r w:rsidR="001C2C9A" w:rsidRPr="00C17D9E">
        <w:t xml:space="preserve"> </w:t>
      </w:r>
      <w:r w:rsidR="002D154E" w:rsidRPr="00C17D9E">
        <w:t>would</w:t>
      </w:r>
      <w:r w:rsidR="00B67A25" w:rsidRPr="00C17D9E">
        <w:t xml:space="preserve"> dissemi</w:t>
      </w:r>
      <w:r w:rsidR="002D154E" w:rsidRPr="00C17D9E">
        <w:t>nate</w:t>
      </w:r>
      <w:r w:rsidR="00B67A25" w:rsidRPr="00C17D9E">
        <w:t xml:space="preserve"> information regarding other job </w:t>
      </w:r>
      <w:r w:rsidR="00B67A25" w:rsidRPr="00C17D9E">
        <w:lastRenderedPageBreak/>
        <w:t>opportunities to faculty and staff.  Through lay-off notices</w:t>
      </w:r>
      <w:r w:rsidR="002D154E" w:rsidRPr="00C17D9E">
        <w:t xml:space="preserve">, the </w:t>
      </w:r>
      <w:r w:rsidR="00862B58">
        <w:t>College</w:t>
      </w:r>
      <w:r w:rsidR="002D154E" w:rsidRPr="00C17D9E">
        <w:t xml:space="preserve"> would be informing</w:t>
      </w:r>
      <w:r w:rsidR="00B67A25" w:rsidRPr="00C17D9E">
        <w:t xml:space="preserve"> all faculty and staff of the possibility of closure.  </w:t>
      </w:r>
      <w:r w:rsidR="002D771A" w:rsidRPr="00C17D9E">
        <w:t xml:space="preserve">The </w:t>
      </w:r>
      <w:r w:rsidR="00B67A25" w:rsidRPr="00C17D9E">
        <w:t xml:space="preserve">Human Resources </w:t>
      </w:r>
      <w:r w:rsidR="002D771A" w:rsidRPr="00C17D9E">
        <w:t>Department</w:t>
      </w:r>
      <w:r w:rsidR="002D154E" w:rsidRPr="00C17D9E">
        <w:t xml:space="preserve"> </w:t>
      </w:r>
      <w:r>
        <w:t xml:space="preserve">(HR) </w:t>
      </w:r>
      <w:r w:rsidR="002D154E" w:rsidRPr="00C17D9E">
        <w:t>would</w:t>
      </w:r>
      <w:r w:rsidR="00B67A25" w:rsidRPr="00C17D9E">
        <w:t xml:space="preserve"> actively list job opportunities and work with faculty and </w:t>
      </w:r>
      <w:r w:rsidR="001C2C9A" w:rsidRPr="00C17D9E">
        <w:t>staff in alternative placement where available.</w:t>
      </w:r>
      <w:r w:rsidR="00B67A25" w:rsidRPr="00C17D9E">
        <w:t xml:space="preserve"> </w:t>
      </w:r>
      <w:r w:rsidR="002D154E" w:rsidRPr="00C17D9E">
        <w:t xml:space="preserve"> In the event the </w:t>
      </w:r>
      <w:r w:rsidR="00862B58">
        <w:t>College</w:t>
      </w:r>
      <w:r w:rsidR="00B67A25" w:rsidRPr="00C17D9E">
        <w:t xml:space="preserve"> lose</w:t>
      </w:r>
      <w:r w:rsidR="002D154E" w:rsidRPr="00C17D9E">
        <w:t>s</w:t>
      </w:r>
      <w:r w:rsidR="00B67A25" w:rsidRPr="00C17D9E">
        <w:t xml:space="preserve"> faculty mid-term</w:t>
      </w:r>
      <w:r w:rsidR="002D154E" w:rsidRPr="00C17D9E">
        <w:t xml:space="preserve">, the </w:t>
      </w:r>
      <w:r w:rsidR="00862B58">
        <w:t>College</w:t>
      </w:r>
      <w:r w:rsidR="002D154E" w:rsidRPr="00C17D9E">
        <w:t xml:space="preserve"> would</w:t>
      </w:r>
      <w:r w:rsidR="00B67A25" w:rsidRPr="00C17D9E">
        <w:t xml:space="preserve"> </w:t>
      </w:r>
      <w:r w:rsidR="002D154E" w:rsidRPr="00C17D9E">
        <w:t>work</w:t>
      </w:r>
      <w:r w:rsidR="00B67A25" w:rsidRPr="00C17D9E">
        <w:t xml:space="preserve"> with neighboring</w:t>
      </w:r>
      <w:r w:rsidR="002D771A" w:rsidRPr="00C17D9E">
        <w:t xml:space="preserve"> institutions to provide </w:t>
      </w:r>
      <w:r w:rsidR="00B67A25" w:rsidRPr="00C17D9E">
        <w:t xml:space="preserve">students </w:t>
      </w:r>
      <w:r w:rsidR="002D771A" w:rsidRPr="00C17D9E">
        <w:t xml:space="preserve">the opportunity </w:t>
      </w:r>
      <w:r w:rsidR="00B67A25" w:rsidRPr="00C17D9E">
        <w:t>to complete courses.</w:t>
      </w:r>
    </w:p>
    <w:p w:rsidR="002D771A" w:rsidRPr="00C17D9E" w:rsidRDefault="002D154E" w:rsidP="00B96A1A">
      <w:pPr>
        <w:numPr>
          <w:ilvl w:val="0"/>
          <w:numId w:val="6"/>
        </w:numPr>
      </w:pPr>
      <w:r w:rsidRPr="00C17D9E">
        <w:t>In the event of closure, a</w:t>
      </w:r>
      <w:r w:rsidR="00B67A25" w:rsidRPr="00C17D9E">
        <w:t>ll long-term off-site (credit/non-credit inst</w:t>
      </w:r>
      <w:r w:rsidR="005108D2">
        <w:t>ruction) existing contracts/MOU</w:t>
      </w:r>
      <w:r w:rsidR="00B67A25" w:rsidRPr="00C17D9E">
        <w:t>s</w:t>
      </w:r>
      <w:r w:rsidR="005108D2">
        <w:t xml:space="preserve"> or lease a</w:t>
      </w:r>
      <w:r w:rsidR="000B4F71" w:rsidRPr="00C17D9E">
        <w:t>greement</w:t>
      </w:r>
      <w:r w:rsidR="00B67A25" w:rsidRPr="00C17D9E">
        <w:t xml:space="preserve"> </w:t>
      </w:r>
      <w:r w:rsidRPr="00C17D9E">
        <w:t>would be</w:t>
      </w:r>
      <w:r w:rsidR="00B67A25" w:rsidRPr="00C17D9E">
        <w:t xml:space="preserve"> terminated</w:t>
      </w:r>
      <w:r w:rsidR="005108D2">
        <w:t>.</w:t>
      </w:r>
      <w:r w:rsidR="00B67A25" w:rsidRPr="00C17D9E">
        <w:t xml:space="preserve"> </w:t>
      </w:r>
      <w:r w:rsidR="005108D2">
        <w:t>In some locations the College would establish a month to month arrangement based on Summer course offerings.</w:t>
      </w:r>
      <w:r w:rsidRPr="00C17D9E">
        <w:t xml:space="preserve">  All lease agreements would</w:t>
      </w:r>
      <w:r w:rsidR="00F42EC1" w:rsidRPr="00C17D9E">
        <w:t xml:space="preserve"> be reviewed and established in colla</w:t>
      </w:r>
      <w:r w:rsidRPr="00C17D9E">
        <w:t xml:space="preserve">boration with any </w:t>
      </w:r>
      <w:r w:rsidR="00E25194" w:rsidRPr="00C17D9E">
        <w:t xml:space="preserve">potential merger </w:t>
      </w:r>
      <w:r w:rsidR="005108D2">
        <w:t xml:space="preserve">with another </w:t>
      </w:r>
      <w:r w:rsidR="00007BE7">
        <w:t>District</w:t>
      </w:r>
      <w:r w:rsidR="00E25194" w:rsidRPr="00C17D9E">
        <w:t xml:space="preserve"> </w:t>
      </w:r>
      <w:r w:rsidR="00B67A25" w:rsidRPr="00C17D9E">
        <w:t>upon notification of closure.</w:t>
      </w:r>
    </w:p>
    <w:p w:rsidR="00881628" w:rsidRPr="00C17D9E" w:rsidRDefault="00881628" w:rsidP="00B96A1A">
      <w:pPr>
        <w:numPr>
          <w:ilvl w:val="0"/>
          <w:numId w:val="6"/>
        </w:numPr>
      </w:pPr>
      <w:r w:rsidRPr="00C17D9E">
        <w:t xml:space="preserve">The </w:t>
      </w:r>
      <w:r w:rsidR="00862B58">
        <w:t>College</w:t>
      </w:r>
      <w:r w:rsidR="00E25194" w:rsidRPr="00C17D9E">
        <w:t xml:space="preserve"> may consider an early </w:t>
      </w:r>
      <w:r w:rsidRPr="00C17D9E">
        <w:t>retirement incentive to be pro</w:t>
      </w:r>
      <w:r w:rsidR="00E25194" w:rsidRPr="00C17D9E">
        <w:t xml:space="preserve">cessed </w:t>
      </w:r>
      <w:r w:rsidR="00DC6740" w:rsidRPr="00C17D9E">
        <w:t>for certificated and classified employees</w:t>
      </w:r>
      <w:r w:rsidRPr="00C17D9E">
        <w:t>.</w:t>
      </w:r>
    </w:p>
    <w:p w:rsidR="000D3428" w:rsidRPr="00C17D9E" w:rsidRDefault="000D3428" w:rsidP="00B96A1A"/>
    <w:p w:rsidR="00382BBF" w:rsidRDefault="00382BBF" w:rsidP="00B96A1A">
      <w:pPr>
        <w:outlineLvl w:val="0"/>
        <w:rPr>
          <w:b/>
        </w:rPr>
      </w:pPr>
      <w:r w:rsidRPr="00C17D9E">
        <w:rPr>
          <w:b/>
        </w:rPr>
        <w:t>D.  Disposition of Assets</w:t>
      </w:r>
      <w:r w:rsidR="008C3E6C">
        <w:rPr>
          <w:b/>
        </w:rPr>
        <w:t>:</w:t>
      </w:r>
    </w:p>
    <w:p w:rsidR="001C52C4" w:rsidRPr="00C17D9E" w:rsidRDefault="001C52C4" w:rsidP="00B96A1A">
      <w:pPr>
        <w:outlineLvl w:val="0"/>
        <w:rPr>
          <w:b/>
        </w:rPr>
      </w:pPr>
    </w:p>
    <w:p w:rsidR="00B857A2" w:rsidRPr="00C17D9E" w:rsidRDefault="00B857A2" w:rsidP="00B96A1A">
      <w:pPr>
        <w:numPr>
          <w:ilvl w:val="0"/>
          <w:numId w:val="7"/>
        </w:numPr>
      </w:pPr>
      <w:r w:rsidRPr="00C17D9E">
        <w:t xml:space="preserve">The </w:t>
      </w:r>
      <w:r w:rsidR="00007BE7">
        <w:t>District</w:t>
      </w:r>
      <w:r w:rsidRPr="00C17D9E">
        <w:t xml:space="preserve"> will remain as the legal entity to monitor the disposition of its assets</w:t>
      </w:r>
      <w:r w:rsidR="000B4F71" w:rsidRPr="00C17D9E">
        <w:t xml:space="preserve"> if necessary</w:t>
      </w:r>
      <w:r w:rsidRPr="00C17D9E">
        <w:t xml:space="preserve">.  </w:t>
      </w:r>
    </w:p>
    <w:p w:rsidR="00382BBF" w:rsidRPr="00C17D9E" w:rsidRDefault="00E25194" w:rsidP="00B96A1A">
      <w:pPr>
        <w:numPr>
          <w:ilvl w:val="0"/>
          <w:numId w:val="7"/>
        </w:numPr>
      </w:pPr>
      <w:r w:rsidRPr="00C17D9E">
        <w:t xml:space="preserve">In the event of closure, </w:t>
      </w:r>
      <w:r w:rsidR="00292754">
        <w:t xml:space="preserve">all long-term off-site (credit/non-credit instruction) existing contracts/MOUs or lease agreements would be terminated. In some locations the College would establish a month-to-month arrangement based on Summer course offerings. All lease agreements would be reviewed and established in collaboration with any potential merger with another District upon notification of closure. </w:t>
      </w:r>
    </w:p>
    <w:p w:rsidR="00382BBF" w:rsidRPr="00C17D9E" w:rsidRDefault="001C2C9A" w:rsidP="00B96A1A">
      <w:pPr>
        <w:numPr>
          <w:ilvl w:val="0"/>
          <w:numId w:val="7"/>
        </w:numPr>
      </w:pPr>
      <w:r w:rsidRPr="00C17D9E">
        <w:t>The</w:t>
      </w:r>
      <w:r w:rsidR="00382BBF" w:rsidRPr="00C17D9E">
        <w:t xml:space="preserve"> </w:t>
      </w:r>
      <w:r w:rsidR="00007BE7">
        <w:t>District</w:t>
      </w:r>
      <w:r w:rsidR="00B857A2" w:rsidRPr="00C17D9E">
        <w:t xml:space="preserve"> </w:t>
      </w:r>
      <w:r w:rsidR="00382BBF" w:rsidRPr="00C17D9E">
        <w:t>will notify the U</w:t>
      </w:r>
      <w:r w:rsidR="005108D2">
        <w:t>.</w:t>
      </w:r>
      <w:r w:rsidR="00382BBF" w:rsidRPr="00C17D9E">
        <w:t>S</w:t>
      </w:r>
      <w:r w:rsidR="005108D2">
        <w:t>.</w:t>
      </w:r>
      <w:r w:rsidR="00382BBF" w:rsidRPr="00C17D9E">
        <w:t xml:space="preserve"> Department of Education upon closure and submit to the Department financial reports and performance repo</w:t>
      </w:r>
      <w:r w:rsidRPr="00C17D9E">
        <w:t xml:space="preserve">rts within 45 days. The </w:t>
      </w:r>
      <w:r w:rsidR="00007BE7">
        <w:t>District</w:t>
      </w:r>
      <w:r w:rsidR="00B857A2" w:rsidRPr="00C17D9E">
        <w:t xml:space="preserve"> </w:t>
      </w:r>
      <w:r w:rsidR="00382BBF" w:rsidRPr="00C17D9E">
        <w:t xml:space="preserve">will notify the </w:t>
      </w:r>
      <w:r w:rsidR="005108D2">
        <w:t>USDE</w:t>
      </w:r>
      <w:r w:rsidR="00382BBF" w:rsidRPr="00C17D9E">
        <w:t xml:space="preserve"> how records will be retained and stored</w:t>
      </w:r>
      <w:r w:rsidR="00B857A2" w:rsidRPr="00C17D9E">
        <w:t>.</w:t>
      </w:r>
    </w:p>
    <w:p w:rsidR="00382BBF" w:rsidRPr="00C17D9E" w:rsidRDefault="001C2C9A" w:rsidP="00B96A1A">
      <w:pPr>
        <w:numPr>
          <w:ilvl w:val="0"/>
          <w:numId w:val="7"/>
        </w:numPr>
      </w:pPr>
      <w:r w:rsidRPr="00C17D9E">
        <w:t>The</w:t>
      </w:r>
      <w:r w:rsidR="00382BBF" w:rsidRPr="00C17D9E">
        <w:t xml:space="preserve"> </w:t>
      </w:r>
      <w:r w:rsidR="00007BE7">
        <w:t>District</w:t>
      </w:r>
      <w:r w:rsidR="00B857A2" w:rsidRPr="00C17D9E">
        <w:t xml:space="preserve"> </w:t>
      </w:r>
      <w:r w:rsidR="00382BBF" w:rsidRPr="00C17D9E">
        <w:t>will develop procedures for collectin</w:t>
      </w:r>
      <w:r w:rsidR="005108D2">
        <w:t>g any outstanding student loans</w:t>
      </w:r>
      <w:r w:rsidR="00382BBF" w:rsidRPr="00C17D9E">
        <w:t xml:space="preserve"> reconcile any over-awards, overpayments</w:t>
      </w:r>
      <w:r w:rsidR="005108D2">
        <w:t>,</w:t>
      </w:r>
      <w:r w:rsidR="00382BBF" w:rsidRPr="00C17D9E">
        <w:t xml:space="preserve"> and/or withdrawal calculations.</w:t>
      </w:r>
    </w:p>
    <w:p w:rsidR="00382BBF" w:rsidRPr="00C17D9E" w:rsidRDefault="001C2C9A" w:rsidP="00B96A1A">
      <w:pPr>
        <w:numPr>
          <w:ilvl w:val="0"/>
          <w:numId w:val="7"/>
        </w:numPr>
      </w:pPr>
      <w:r w:rsidRPr="00C17D9E">
        <w:t xml:space="preserve">The </w:t>
      </w:r>
      <w:r w:rsidR="00007BE7">
        <w:t>District</w:t>
      </w:r>
      <w:r w:rsidR="00B857A2" w:rsidRPr="00C17D9E">
        <w:t xml:space="preserve"> </w:t>
      </w:r>
      <w:r w:rsidR="00382BBF" w:rsidRPr="00C17D9E">
        <w:t>will return all unexpended funds of all categorical programs to the respective agencies</w:t>
      </w:r>
      <w:r w:rsidR="00B857A2" w:rsidRPr="00C17D9E">
        <w:t xml:space="preserve"> if these agencies require such action.</w:t>
      </w:r>
    </w:p>
    <w:p w:rsidR="00382BBF" w:rsidRPr="00C17D9E" w:rsidRDefault="001C2C9A" w:rsidP="00B96A1A">
      <w:pPr>
        <w:numPr>
          <w:ilvl w:val="0"/>
          <w:numId w:val="7"/>
        </w:numPr>
      </w:pPr>
      <w:r w:rsidRPr="00C17D9E">
        <w:t>The</w:t>
      </w:r>
      <w:r w:rsidR="00382BBF" w:rsidRPr="00C17D9E">
        <w:t xml:space="preserve"> </w:t>
      </w:r>
      <w:r w:rsidR="00007BE7">
        <w:t>District</w:t>
      </w:r>
      <w:r w:rsidR="00B857A2" w:rsidRPr="00C17D9E">
        <w:t xml:space="preserve"> </w:t>
      </w:r>
      <w:r w:rsidR="00382BBF" w:rsidRPr="00C17D9E">
        <w:t xml:space="preserve">will work with the </w:t>
      </w:r>
      <w:r w:rsidR="00862B58">
        <w:t>College</w:t>
      </w:r>
      <w:r w:rsidR="00B857A2" w:rsidRPr="00C17D9E">
        <w:t xml:space="preserve"> </w:t>
      </w:r>
      <w:r w:rsidR="00382BBF" w:rsidRPr="00C17D9E">
        <w:t xml:space="preserve">Foundation to ensure that the assets would honor the intentions of the original providers including endowments and donors, and grantors.  All donors and grantors will be notified of the </w:t>
      </w:r>
      <w:r w:rsidR="00862B58">
        <w:t>College</w:t>
      </w:r>
      <w:r w:rsidR="00382BBF" w:rsidRPr="00C17D9E">
        <w:t>’s disposition of endowments and donations.</w:t>
      </w:r>
    </w:p>
    <w:p w:rsidR="00382BBF" w:rsidRPr="00C17D9E" w:rsidRDefault="003434A8" w:rsidP="00B96A1A">
      <w:pPr>
        <w:numPr>
          <w:ilvl w:val="0"/>
          <w:numId w:val="7"/>
        </w:numPr>
      </w:pPr>
      <w:r w:rsidRPr="00C17D9E">
        <w:t xml:space="preserve">The </w:t>
      </w:r>
      <w:r w:rsidR="00007BE7">
        <w:t>District</w:t>
      </w:r>
      <w:r w:rsidR="00B857A2" w:rsidRPr="00C17D9E">
        <w:t xml:space="preserve"> </w:t>
      </w:r>
      <w:r w:rsidR="00382BBF" w:rsidRPr="00C17D9E">
        <w:t xml:space="preserve">will follow the </w:t>
      </w:r>
      <w:r w:rsidR="008B4159">
        <w:t>State</w:t>
      </w:r>
      <w:r w:rsidR="00382BBF" w:rsidRPr="00C17D9E">
        <w:t xml:space="preserve"> or federal laws regarding the disposition of funds and institutional assets</w:t>
      </w:r>
      <w:r w:rsidR="00230382" w:rsidRPr="00C17D9E">
        <w:t xml:space="preserve"> if necessary</w:t>
      </w:r>
      <w:r w:rsidRPr="00C17D9E">
        <w:t xml:space="preserve">. The </w:t>
      </w:r>
      <w:r w:rsidR="00007BE7">
        <w:t>District</w:t>
      </w:r>
      <w:r w:rsidR="00B857A2" w:rsidRPr="00C17D9E">
        <w:t xml:space="preserve"> </w:t>
      </w:r>
      <w:r w:rsidR="00382BBF" w:rsidRPr="00C17D9E">
        <w:t>will determine the value of real and pe</w:t>
      </w:r>
      <w:r w:rsidRPr="00C17D9E">
        <w:t xml:space="preserve">rsonal properties.  The </w:t>
      </w:r>
      <w:r w:rsidR="00007BE7">
        <w:t>District</w:t>
      </w:r>
      <w:r w:rsidR="00B857A2" w:rsidRPr="00C17D9E">
        <w:t xml:space="preserve"> </w:t>
      </w:r>
      <w:r w:rsidR="007E0231" w:rsidRPr="00C17D9E">
        <w:t>will explore all viable options and confirm that</w:t>
      </w:r>
      <w:r w:rsidR="00382BBF" w:rsidRPr="00C17D9E">
        <w:t xml:space="preserve"> employee long-term retiree benefits, vacation and compensation time</w:t>
      </w:r>
      <w:r w:rsidR="007E0231" w:rsidRPr="00C17D9E">
        <w:t xml:space="preserve"> obligations are satisfied</w:t>
      </w:r>
      <w:r w:rsidR="00382BBF" w:rsidRPr="00C17D9E">
        <w:t xml:space="preserve">.  </w:t>
      </w:r>
      <w:r w:rsidR="00230382" w:rsidRPr="00C17D9E">
        <w:t>T</w:t>
      </w:r>
      <w:r w:rsidR="00382BBF" w:rsidRPr="00C17D9E">
        <w:t xml:space="preserve">he </w:t>
      </w:r>
      <w:r w:rsidR="00007BE7">
        <w:t>District</w:t>
      </w:r>
      <w:r w:rsidR="00382BBF" w:rsidRPr="00C17D9E">
        <w:t xml:space="preserve"> will satisfy vendor obligations </w:t>
      </w:r>
      <w:r w:rsidR="00230382" w:rsidRPr="00C17D9E">
        <w:t xml:space="preserve">as </w:t>
      </w:r>
      <w:r w:rsidR="00382BBF" w:rsidRPr="00C17D9E">
        <w:t xml:space="preserve">required by federal and </w:t>
      </w:r>
      <w:r w:rsidR="008B4159">
        <w:t>State</w:t>
      </w:r>
      <w:r w:rsidR="00382BBF" w:rsidRPr="00C17D9E">
        <w:t xml:space="preserve"> regulations.</w:t>
      </w:r>
    </w:p>
    <w:p w:rsidR="00382BBF" w:rsidRPr="00C17D9E" w:rsidRDefault="006705FE" w:rsidP="00B96A1A">
      <w:pPr>
        <w:numPr>
          <w:ilvl w:val="0"/>
          <w:numId w:val="7"/>
        </w:numPr>
      </w:pPr>
      <w:r>
        <w:t>With the assistance of legal counsel t</w:t>
      </w:r>
      <w:r w:rsidR="003434A8" w:rsidRPr="00C17D9E">
        <w:t xml:space="preserve">he </w:t>
      </w:r>
      <w:r w:rsidR="00007BE7">
        <w:t>District</w:t>
      </w:r>
      <w:r w:rsidR="00B857A2" w:rsidRPr="00C17D9E">
        <w:t xml:space="preserve"> </w:t>
      </w:r>
      <w:r w:rsidR="00382BBF" w:rsidRPr="00C17D9E">
        <w:t xml:space="preserve">will also explore the sales of physical plant, equipment, library, special collections, art, or </w:t>
      </w:r>
      <w:r>
        <w:t xml:space="preserve">dispensation of </w:t>
      </w:r>
      <w:r w:rsidR="00382BBF" w:rsidRPr="00C17D9E">
        <w:t>other funds</w:t>
      </w:r>
      <w:r w:rsidR="000B4F71" w:rsidRPr="00C17D9E">
        <w:t xml:space="preserve"> if necessary</w:t>
      </w:r>
      <w:r w:rsidR="00382BBF" w:rsidRPr="00C17D9E">
        <w:t>.</w:t>
      </w:r>
    </w:p>
    <w:p w:rsidR="00B509C3" w:rsidRPr="00C17D9E" w:rsidRDefault="00BC6233" w:rsidP="00B96A1A">
      <w:pPr>
        <w:numPr>
          <w:ilvl w:val="0"/>
          <w:numId w:val="7"/>
        </w:numPr>
      </w:pPr>
      <w:r w:rsidRPr="00C17D9E">
        <w:lastRenderedPageBreak/>
        <w:t>In the event</w:t>
      </w:r>
      <w:r w:rsidR="00B509C3" w:rsidRPr="00C17D9E">
        <w:t xml:space="preserve"> the </w:t>
      </w:r>
      <w:r w:rsidR="00862B58">
        <w:t>College</w:t>
      </w:r>
      <w:r w:rsidR="00B509C3" w:rsidRPr="00C17D9E">
        <w:t xml:space="preserve"> do</w:t>
      </w:r>
      <w:r w:rsidR="00486F8A" w:rsidRPr="00C17D9E">
        <w:t>es</w:t>
      </w:r>
      <w:r w:rsidR="00B509C3" w:rsidRPr="00C17D9E">
        <w:t xml:space="preserve"> not have sufficient finance resources to honor </w:t>
      </w:r>
      <w:r w:rsidR="00814BC3" w:rsidRPr="00C17D9E">
        <w:t xml:space="preserve">commitments, </w:t>
      </w:r>
      <w:r w:rsidR="00373341">
        <w:t>the Board of Trustees</w:t>
      </w:r>
      <w:r w:rsidR="00B509C3" w:rsidRPr="00C17D9E">
        <w:t xml:space="preserve"> will determine the necessary steps to proceed with</w:t>
      </w:r>
      <w:r w:rsidR="008867A9" w:rsidRPr="00C17D9E">
        <w:t xml:space="preserve"> a</w:t>
      </w:r>
      <w:r w:rsidR="00B509C3" w:rsidRPr="00C17D9E">
        <w:t xml:space="preserve"> </w:t>
      </w:r>
      <w:r w:rsidR="008867A9" w:rsidRPr="00C17D9E">
        <w:t xml:space="preserve">possible </w:t>
      </w:r>
      <w:r w:rsidR="00B509C3" w:rsidRPr="00C17D9E">
        <w:t>declaration of bankruptcy.  At which time, the bankruptcy court judge will determine the dispositions of assets.</w:t>
      </w:r>
    </w:p>
    <w:p w:rsidR="00382BBF" w:rsidRPr="00C17D9E" w:rsidRDefault="00382BBF" w:rsidP="00B96A1A"/>
    <w:p w:rsidR="00382BBF" w:rsidRDefault="000C6031" w:rsidP="00B96A1A">
      <w:pPr>
        <w:ind w:left="360" w:hanging="360"/>
        <w:outlineLvl w:val="0"/>
        <w:rPr>
          <w:b/>
        </w:rPr>
      </w:pPr>
      <w:r w:rsidRPr="00C17D9E">
        <w:rPr>
          <w:b/>
        </w:rPr>
        <w:t>E.</w:t>
      </w:r>
      <w:r w:rsidRPr="00C17D9E">
        <w:rPr>
          <w:b/>
        </w:rPr>
        <w:tab/>
      </w:r>
      <w:r w:rsidR="00382BBF" w:rsidRPr="00C17D9E">
        <w:rPr>
          <w:b/>
        </w:rPr>
        <w:t>Obligations to Creditors</w:t>
      </w:r>
      <w:r w:rsidR="008C3E6C">
        <w:rPr>
          <w:b/>
        </w:rPr>
        <w:t>:</w:t>
      </w:r>
    </w:p>
    <w:p w:rsidR="001C52C4" w:rsidRPr="00C17D9E" w:rsidRDefault="001C52C4" w:rsidP="00B96A1A">
      <w:pPr>
        <w:ind w:left="360" w:hanging="360"/>
        <w:outlineLvl w:val="0"/>
        <w:rPr>
          <w:b/>
        </w:rPr>
      </w:pPr>
    </w:p>
    <w:p w:rsidR="00382BBF" w:rsidRPr="00C17D9E" w:rsidRDefault="003434A8" w:rsidP="00B96A1A">
      <w:pPr>
        <w:numPr>
          <w:ilvl w:val="0"/>
          <w:numId w:val="14"/>
        </w:numPr>
      </w:pPr>
      <w:r w:rsidRPr="00C17D9E">
        <w:t>The</w:t>
      </w:r>
      <w:r w:rsidR="00382BBF" w:rsidRPr="00C17D9E">
        <w:t xml:space="preserve"> </w:t>
      </w:r>
      <w:r w:rsidR="00007BE7">
        <w:t>District</w:t>
      </w:r>
      <w:r w:rsidR="00B857A2" w:rsidRPr="00C17D9E">
        <w:t xml:space="preserve"> </w:t>
      </w:r>
      <w:r w:rsidR="00382BBF" w:rsidRPr="00C17D9E">
        <w:t>will identify all out</w:t>
      </w:r>
      <w:r w:rsidR="004E0CAD" w:rsidRPr="00C17D9E">
        <w:t>standing creditor obligations f</w:t>
      </w:r>
      <w:r w:rsidR="00382BBF" w:rsidRPr="00C17D9E">
        <w:t>o</w:t>
      </w:r>
      <w:r w:rsidR="004E0CAD" w:rsidRPr="00C17D9E">
        <w:t>r</w:t>
      </w:r>
      <w:r w:rsidR="00E25194" w:rsidRPr="00C17D9E">
        <w:t xml:space="preserve"> all funds, including </w:t>
      </w:r>
      <w:r w:rsidR="00F05ADC" w:rsidRPr="00C17D9E">
        <w:t>local bond fund</w:t>
      </w:r>
      <w:r w:rsidR="00382BBF" w:rsidRPr="00C17D9E">
        <w:t xml:space="preserve"> creditors</w:t>
      </w:r>
      <w:r w:rsidR="00F05ADC" w:rsidRPr="00C17D9E">
        <w:t>,</w:t>
      </w:r>
      <w:r w:rsidRPr="00C17D9E">
        <w:t xml:space="preserve"> if the </w:t>
      </w:r>
      <w:r w:rsidR="00007BE7">
        <w:t>District</w:t>
      </w:r>
      <w:r w:rsidR="00BC6233" w:rsidRPr="00C17D9E">
        <w:t xml:space="preserve"> deems this necessary.</w:t>
      </w:r>
    </w:p>
    <w:p w:rsidR="00382BBF" w:rsidRPr="00C17D9E" w:rsidRDefault="00382BBF" w:rsidP="00B96A1A">
      <w:pPr>
        <w:numPr>
          <w:ilvl w:val="0"/>
          <w:numId w:val="8"/>
        </w:numPr>
      </w:pPr>
      <w:r w:rsidRPr="00C17D9E">
        <w:t xml:space="preserve">The </w:t>
      </w:r>
      <w:r w:rsidR="00007BE7">
        <w:t>District</w:t>
      </w:r>
      <w:r w:rsidR="00B857A2" w:rsidRPr="00C17D9E">
        <w:t xml:space="preserve"> </w:t>
      </w:r>
      <w:r w:rsidRPr="00C17D9E">
        <w:t>will process properly all claims and interests with creditors and other agencies</w:t>
      </w:r>
      <w:r w:rsidR="003434A8" w:rsidRPr="00C17D9E">
        <w:t xml:space="preserve"> if the </w:t>
      </w:r>
      <w:r w:rsidR="00007BE7">
        <w:t>District</w:t>
      </w:r>
      <w:r w:rsidR="00BC6233" w:rsidRPr="00C17D9E">
        <w:t xml:space="preserve"> deems this necessary</w:t>
      </w:r>
      <w:r w:rsidRPr="00C17D9E">
        <w:t>.</w:t>
      </w:r>
    </w:p>
    <w:p w:rsidR="00382BBF" w:rsidRPr="00C17D9E" w:rsidRDefault="003434A8" w:rsidP="00B96A1A">
      <w:pPr>
        <w:numPr>
          <w:ilvl w:val="0"/>
          <w:numId w:val="8"/>
        </w:numPr>
      </w:pPr>
      <w:r w:rsidRPr="00C17D9E">
        <w:t xml:space="preserve">The </w:t>
      </w:r>
      <w:r w:rsidR="00007BE7">
        <w:t>District</w:t>
      </w:r>
      <w:r w:rsidR="00B857A2" w:rsidRPr="00C17D9E">
        <w:t xml:space="preserve"> </w:t>
      </w:r>
      <w:r w:rsidR="00382BBF" w:rsidRPr="00C17D9E">
        <w:t>will apprise all agencies of the institutions arrangements in order not to be subject to later legal proceedings</w:t>
      </w:r>
      <w:r w:rsidRPr="00C17D9E">
        <w:t xml:space="preserve"> if the</w:t>
      </w:r>
      <w:r w:rsidR="00BC6233" w:rsidRPr="00C17D9E">
        <w:t xml:space="preserve"> </w:t>
      </w:r>
      <w:r w:rsidR="00007BE7">
        <w:t>District</w:t>
      </w:r>
      <w:r w:rsidR="00BC6233" w:rsidRPr="00C17D9E">
        <w:t xml:space="preserve"> deems this necessary</w:t>
      </w:r>
      <w:r w:rsidR="00382BBF" w:rsidRPr="00C17D9E">
        <w:t>.</w:t>
      </w:r>
    </w:p>
    <w:p w:rsidR="00382BBF" w:rsidRPr="00C17D9E" w:rsidRDefault="003434A8" w:rsidP="00B96A1A">
      <w:pPr>
        <w:numPr>
          <w:ilvl w:val="0"/>
          <w:numId w:val="8"/>
        </w:numPr>
      </w:pPr>
      <w:r w:rsidRPr="00C17D9E">
        <w:t xml:space="preserve">The </w:t>
      </w:r>
      <w:r w:rsidR="00007BE7">
        <w:t>District</w:t>
      </w:r>
      <w:r w:rsidR="00B857A2" w:rsidRPr="00C17D9E">
        <w:t xml:space="preserve"> </w:t>
      </w:r>
      <w:r w:rsidR="00382BBF" w:rsidRPr="00C17D9E">
        <w:t xml:space="preserve">will follow the </w:t>
      </w:r>
      <w:r w:rsidR="008B4159">
        <w:t>State</w:t>
      </w:r>
      <w:r w:rsidR="00382BBF" w:rsidRPr="00C17D9E">
        <w:t xml:space="preserve"> or federal laws regarding payments of creditors</w:t>
      </w:r>
      <w:r w:rsidR="00BC6233" w:rsidRPr="00C17D9E">
        <w:t>.</w:t>
      </w:r>
    </w:p>
    <w:p w:rsidR="00382BBF" w:rsidRPr="00C17D9E" w:rsidRDefault="003434A8" w:rsidP="00B96A1A">
      <w:pPr>
        <w:numPr>
          <w:ilvl w:val="0"/>
          <w:numId w:val="8"/>
        </w:numPr>
      </w:pPr>
      <w:r w:rsidRPr="00C17D9E">
        <w:t xml:space="preserve">The </w:t>
      </w:r>
      <w:r w:rsidR="00007BE7">
        <w:t>District</w:t>
      </w:r>
      <w:r w:rsidR="00B857A2" w:rsidRPr="00C17D9E">
        <w:t xml:space="preserve"> </w:t>
      </w:r>
      <w:r w:rsidR="00382BBF" w:rsidRPr="00C17D9E">
        <w:t>will develop publicly defensible policies for dividing the resources equitably among those with claims against the institution by involving potential claimants</w:t>
      </w:r>
      <w:r w:rsidRPr="00C17D9E">
        <w:t xml:space="preserve"> if the </w:t>
      </w:r>
      <w:r w:rsidR="00007BE7">
        <w:t>District</w:t>
      </w:r>
      <w:r w:rsidR="00BC6233" w:rsidRPr="00C17D9E">
        <w:t xml:space="preserve"> deems this necessary</w:t>
      </w:r>
      <w:r w:rsidR="00382BBF" w:rsidRPr="00C17D9E">
        <w:t>.</w:t>
      </w:r>
    </w:p>
    <w:p w:rsidR="00486F8A" w:rsidRPr="00C17D9E" w:rsidRDefault="003434A8" w:rsidP="00B96A1A">
      <w:pPr>
        <w:numPr>
          <w:ilvl w:val="0"/>
          <w:numId w:val="8"/>
        </w:numPr>
      </w:pPr>
      <w:r w:rsidRPr="00C17D9E">
        <w:t xml:space="preserve">In the event the </w:t>
      </w:r>
      <w:r w:rsidR="00007BE7">
        <w:t>District</w:t>
      </w:r>
      <w:r w:rsidR="00B857A2" w:rsidRPr="00C17D9E">
        <w:t xml:space="preserve"> </w:t>
      </w:r>
      <w:r w:rsidR="00486F8A" w:rsidRPr="00C17D9E">
        <w:t xml:space="preserve">does not have sufficient </w:t>
      </w:r>
      <w:r w:rsidR="009A4568">
        <w:t>financial</w:t>
      </w:r>
      <w:r w:rsidR="00486F8A" w:rsidRPr="00C17D9E">
        <w:t xml:space="preserve"> resources to honor obligations t</w:t>
      </w:r>
      <w:r w:rsidR="00814BC3" w:rsidRPr="00C17D9E">
        <w:t xml:space="preserve">o creditors, </w:t>
      </w:r>
      <w:r w:rsidR="00373341">
        <w:t>the Board of Trustees</w:t>
      </w:r>
      <w:r w:rsidR="00486F8A" w:rsidRPr="00C17D9E">
        <w:t xml:space="preserve"> will determine the necessary steps to proceed with possibility declaration of bankruptcy.  At which time, the bankruptcy court judge will determine the dispositions of assets.</w:t>
      </w:r>
    </w:p>
    <w:p w:rsidR="000D3428" w:rsidRPr="00C17D9E" w:rsidRDefault="000D3428" w:rsidP="00B96A1A"/>
    <w:p w:rsidR="00E25194" w:rsidRDefault="00814BC3" w:rsidP="00B96A1A">
      <w:pPr>
        <w:outlineLvl w:val="0"/>
        <w:rPr>
          <w:b/>
        </w:rPr>
      </w:pPr>
      <w:r w:rsidRPr="00C17D9E">
        <w:rPr>
          <w:b/>
        </w:rPr>
        <w:t xml:space="preserve">F.  </w:t>
      </w:r>
      <w:r w:rsidR="000D3428" w:rsidRPr="00C17D9E">
        <w:rPr>
          <w:b/>
        </w:rPr>
        <w:t>Coordination with the ACCJC</w:t>
      </w:r>
      <w:r w:rsidR="008C3E6C">
        <w:rPr>
          <w:b/>
        </w:rPr>
        <w:t>:</w:t>
      </w:r>
    </w:p>
    <w:p w:rsidR="001C52C4" w:rsidRPr="00C17D9E" w:rsidRDefault="001C52C4" w:rsidP="00B96A1A">
      <w:pPr>
        <w:outlineLvl w:val="0"/>
        <w:rPr>
          <w:b/>
        </w:rPr>
      </w:pPr>
    </w:p>
    <w:p w:rsidR="00E25194" w:rsidRPr="00C17D9E" w:rsidRDefault="00E25194" w:rsidP="00B96A1A">
      <w:pPr>
        <w:numPr>
          <w:ilvl w:val="0"/>
          <w:numId w:val="10"/>
        </w:numPr>
      </w:pPr>
      <w:r w:rsidRPr="00C17D9E">
        <w:t>In the event of closure, t</w:t>
      </w:r>
      <w:r w:rsidR="00AB098F" w:rsidRPr="00C17D9E">
        <w:t xml:space="preserve">he </w:t>
      </w:r>
      <w:r w:rsidR="009A4568">
        <w:t>Board of Trustees</w:t>
      </w:r>
      <w:r w:rsidR="00A01EE4" w:rsidRPr="00C17D9E">
        <w:t xml:space="preserve"> of </w:t>
      </w:r>
      <w:r w:rsidR="009A4568">
        <w:t>CR</w:t>
      </w:r>
      <w:r w:rsidR="003434A8" w:rsidRPr="00C17D9E">
        <w:t xml:space="preserve"> </w:t>
      </w:r>
      <w:r w:rsidR="00A01EE4" w:rsidRPr="00C17D9E">
        <w:t xml:space="preserve">and the </w:t>
      </w:r>
      <w:r w:rsidR="002D771A" w:rsidRPr="00C17D9E">
        <w:t>President</w:t>
      </w:r>
      <w:r w:rsidR="009A4568">
        <w:t>/Superintendent</w:t>
      </w:r>
      <w:r w:rsidR="002D771A" w:rsidRPr="00C17D9E">
        <w:t xml:space="preserve"> of the </w:t>
      </w:r>
      <w:r w:rsidR="00862B58">
        <w:t>College</w:t>
      </w:r>
      <w:r w:rsidR="00AB098F" w:rsidRPr="00C17D9E">
        <w:t xml:space="preserve"> </w:t>
      </w:r>
      <w:r w:rsidRPr="00C17D9E">
        <w:t xml:space="preserve">will </w:t>
      </w:r>
      <w:r w:rsidR="00AB098F" w:rsidRPr="00C17D9E">
        <w:t>c</w:t>
      </w:r>
      <w:r w:rsidR="000D3428" w:rsidRPr="00C17D9E">
        <w:t>onsult</w:t>
      </w:r>
      <w:r w:rsidR="00B857A2" w:rsidRPr="00C17D9E">
        <w:t xml:space="preserve"> with</w:t>
      </w:r>
      <w:r w:rsidR="000D3428" w:rsidRPr="00C17D9E">
        <w:t xml:space="preserve"> and keep apprised</w:t>
      </w:r>
      <w:r w:rsidR="009A4568">
        <w:t xml:space="preserve"> the </w:t>
      </w:r>
      <w:r w:rsidR="000D3428" w:rsidRPr="00C17D9E">
        <w:t xml:space="preserve"> ACCJC of developments as the plan to close an institution progresses</w:t>
      </w:r>
      <w:r w:rsidR="00AB098F" w:rsidRPr="00C17D9E">
        <w:t>.</w:t>
      </w:r>
    </w:p>
    <w:p w:rsidR="000D3428" w:rsidRPr="00C17D9E" w:rsidRDefault="003434A8" w:rsidP="00B96A1A">
      <w:pPr>
        <w:numPr>
          <w:ilvl w:val="0"/>
          <w:numId w:val="10"/>
        </w:numPr>
      </w:pPr>
      <w:r w:rsidRPr="00C17D9E">
        <w:t>The</w:t>
      </w:r>
      <w:r w:rsidR="00AB098F" w:rsidRPr="00C17D9E">
        <w:t xml:space="preserve"> </w:t>
      </w:r>
      <w:r w:rsidR="00007BE7">
        <w:t>District</w:t>
      </w:r>
      <w:r w:rsidR="00A01EE4" w:rsidRPr="00C17D9E">
        <w:t xml:space="preserve"> </w:t>
      </w:r>
      <w:r w:rsidR="00AB098F" w:rsidRPr="00C17D9E">
        <w:t>will c</w:t>
      </w:r>
      <w:r w:rsidR="000D3428" w:rsidRPr="00C17D9E">
        <w:t>omplete arrangement</w:t>
      </w:r>
      <w:r w:rsidR="00E25194" w:rsidRPr="00C17D9E">
        <w:t>s</w:t>
      </w:r>
      <w:r w:rsidR="000D3428" w:rsidRPr="00C17D9E">
        <w:t xml:space="preserve"> with </w:t>
      </w:r>
      <w:r w:rsidR="009A4568">
        <w:t xml:space="preserve">the </w:t>
      </w:r>
      <w:r w:rsidR="000D3428" w:rsidRPr="00C17D9E">
        <w:t xml:space="preserve">ACCJC before the closure is in place in order to assure that </w:t>
      </w:r>
      <w:r w:rsidR="00374F1B" w:rsidRPr="00C17D9E">
        <w:t>students have transferred to</w:t>
      </w:r>
      <w:r w:rsidR="000D3428" w:rsidRPr="00C17D9E">
        <w:t xml:space="preserve"> legally authorized and accredited institution</w:t>
      </w:r>
      <w:r w:rsidR="00374F1B" w:rsidRPr="00C17D9E">
        <w:t>s</w:t>
      </w:r>
      <w:r w:rsidR="00E25194" w:rsidRPr="00C17D9E">
        <w:t xml:space="preserve"> including any </w:t>
      </w:r>
      <w:r w:rsidR="00867B2B" w:rsidRPr="00C17D9E">
        <w:t>partnership institution</w:t>
      </w:r>
      <w:r w:rsidR="00E25194" w:rsidRPr="00C17D9E">
        <w:t>s.</w:t>
      </w:r>
    </w:p>
    <w:p w:rsidR="000D3428" w:rsidRPr="00C17D9E" w:rsidRDefault="00814BC3" w:rsidP="00B96A1A">
      <w:pPr>
        <w:numPr>
          <w:ilvl w:val="0"/>
          <w:numId w:val="10"/>
        </w:numPr>
      </w:pPr>
      <w:r w:rsidRPr="00C17D9E">
        <w:t>In the event of closure, t</w:t>
      </w:r>
      <w:r w:rsidR="003434A8" w:rsidRPr="00C17D9E">
        <w:t xml:space="preserve">he </w:t>
      </w:r>
      <w:r w:rsidR="00007BE7">
        <w:t>District</w:t>
      </w:r>
      <w:r w:rsidR="00A01EE4" w:rsidRPr="00C17D9E">
        <w:t xml:space="preserve"> </w:t>
      </w:r>
      <w:r w:rsidR="00374F1B" w:rsidRPr="00C17D9E">
        <w:t>will s</w:t>
      </w:r>
      <w:r w:rsidR="000D3428" w:rsidRPr="00C17D9E">
        <w:t>ubmit</w:t>
      </w:r>
      <w:r w:rsidRPr="00C17D9E">
        <w:t xml:space="preserve"> a</w:t>
      </w:r>
      <w:r w:rsidR="000D3428" w:rsidRPr="00C17D9E">
        <w:t xml:space="preserve"> final closure report to </w:t>
      </w:r>
      <w:r w:rsidR="009A4568">
        <w:t xml:space="preserve">the </w:t>
      </w:r>
      <w:r w:rsidR="000D3428" w:rsidRPr="00C17D9E">
        <w:t>ACCJC</w:t>
      </w:r>
      <w:r w:rsidRPr="00C17D9E">
        <w:t xml:space="preserve"> and </w:t>
      </w:r>
      <w:r w:rsidR="009A4568">
        <w:t xml:space="preserve">indicate </w:t>
      </w:r>
      <w:r w:rsidRPr="00C17D9E">
        <w:t>where students</w:t>
      </w:r>
      <w:r w:rsidR="007E0231" w:rsidRPr="00C17D9E">
        <w:t>’</w:t>
      </w:r>
      <w:r w:rsidRPr="00C17D9E">
        <w:t xml:space="preserve"> records will be stored</w:t>
      </w:r>
      <w:r w:rsidR="00374F1B" w:rsidRPr="00C17D9E">
        <w:t>.</w:t>
      </w:r>
    </w:p>
    <w:p w:rsidR="000D3428" w:rsidRPr="00C17D9E" w:rsidRDefault="000D3428" w:rsidP="00B96A1A"/>
    <w:p w:rsidR="00D61621" w:rsidRDefault="00D61621" w:rsidP="00B96A1A">
      <w:pPr>
        <w:rPr>
          <w:b/>
        </w:rPr>
      </w:pPr>
      <w:r>
        <w:rPr>
          <w:b/>
        </w:rPr>
        <w:br w:type="page"/>
      </w:r>
    </w:p>
    <w:p w:rsidR="000D3428" w:rsidRDefault="000D3428" w:rsidP="00B96A1A">
      <w:pPr>
        <w:outlineLvl w:val="0"/>
        <w:rPr>
          <w:b/>
        </w:rPr>
      </w:pPr>
      <w:r w:rsidRPr="00C17D9E">
        <w:rPr>
          <w:b/>
        </w:rPr>
        <w:lastRenderedPageBreak/>
        <w:t>G.  Key Governing Board Obligations</w:t>
      </w:r>
      <w:r w:rsidR="008C3E6C">
        <w:rPr>
          <w:b/>
        </w:rPr>
        <w:t>:</w:t>
      </w:r>
    </w:p>
    <w:p w:rsidR="001C52C4" w:rsidRPr="00C17D9E" w:rsidRDefault="001C52C4" w:rsidP="00B96A1A">
      <w:pPr>
        <w:outlineLvl w:val="0"/>
        <w:rPr>
          <w:b/>
        </w:rPr>
      </w:pPr>
    </w:p>
    <w:p w:rsidR="000D3428" w:rsidRPr="00C17D9E" w:rsidRDefault="00814BC3" w:rsidP="00B96A1A">
      <w:pPr>
        <w:numPr>
          <w:ilvl w:val="0"/>
          <w:numId w:val="11"/>
        </w:numPr>
      </w:pPr>
      <w:r w:rsidRPr="00C17D9E">
        <w:t>In the event of closure, t</w:t>
      </w:r>
      <w:r w:rsidR="00867B2B" w:rsidRPr="00C17D9E">
        <w:t xml:space="preserve">he </w:t>
      </w:r>
      <w:r w:rsidR="009A4568">
        <w:t>CR</w:t>
      </w:r>
      <w:r w:rsidR="003434A8" w:rsidRPr="00C17D9E">
        <w:t xml:space="preserve"> </w:t>
      </w:r>
      <w:r w:rsidR="009A4568">
        <w:t>Board of Trustees</w:t>
      </w:r>
      <w:r w:rsidRPr="00C17D9E">
        <w:t xml:space="preserve">, </w:t>
      </w:r>
      <w:r w:rsidR="0097574C" w:rsidRPr="00C17D9E">
        <w:t>will t</w:t>
      </w:r>
      <w:r w:rsidR="000D3428" w:rsidRPr="00C17D9E">
        <w:t>ake a formal vote to</w:t>
      </w:r>
      <w:r w:rsidRPr="00C17D9E">
        <w:t xml:space="preserve"> terminate the institution </w:t>
      </w:r>
      <w:r w:rsidR="0097574C" w:rsidRPr="00C17D9E">
        <w:t xml:space="preserve">as determined </w:t>
      </w:r>
      <w:r w:rsidR="002D771A" w:rsidRPr="00C17D9E">
        <w:t xml:space="preserve">by ACCJC’s termination-of-accreditation decision and </w:t>
      </w:r>
      <w:r w:rsidR="00373341">
        <w:t xml:space="preserve">based </w:t>
      </w:r>
      <w:r w:rsidR="0097574C" w:rsidRPr="00C17D9E">
        <w:t>on the progress of the closure activities.</w:t>
      </w:r>
      <w:r w:rsidRPr="00C17D9E">
        <w:t xml:space="preserve"> </w:t>
      </w:r>
      <w:r w:rsidR="0097574C" w:rsidRPr="00C17D9E">
        <w:t xml:space="preserve">The </w:t>
      </w:r>
      <w:r w:rsidR="00373341">
        <w:t>Board of Trustees</w:t>
      </w:r>
      <w:r w:rsidRPr="00C17D9E">
        <w:t xml:space="preserve"> </w:t>
      </w:r>
      <w:r w:rsidR="0097574C" w:rsidRPr="00C17D9E">
        <w:t xml:space="preserve">will </w:t>
      </w:r>
      <w:r w:rsidR="004E0CAD" w:rsidRPr="00C17D9E">
        <w:t>en</w:t>
      </w:r>
      <w:r w:rsidR="0097574C" w:rsidRPr="00C17D9E">
        <w:t xml:space="preserve">sure that the </w:t>
      </w:r>
      <w:r w:rsidR="00BC6233" w:rsidRPr="00C17D9E">
        <w:t xml:space="preserve">current </w:t>
      </w:r>
      <w:r w:rsidR="0097574C" w:rsidRPr="00C17D9E">
        <w:t xml:space="preserve">students </w:t>
      </w:r>
      <w:r w:rsidR="009A4568">
        <w:t xml:space="preserve">who are at </w:t>
      </w:r>
      <w:r w:rsidR="00373341">
        <w:t xml:space="preserve">75 percent completion </w:t>
      </w:r>
      <w:r w:rsidR="0097574C" w:rsidRPr="00C17D9E">
        <w:t xml:space="preserve">will be able to </w:t>
      </w:r>
      <w:r w:rsidR="006B2666" w:rsidRPr="00C17D9E">
        <w:t xml:space="preserve">be </w:t>
      </w:r>
      <w:r w:rsidR="000D3428" w:rsidRPr="00C17D9E">
        <w:t>graduate</w:t>
      </w:r>
      <w:r w:rsidR="0097574C" w:rsidRPr="00C17D9E">
        <w:t>d</w:t>
      </w:r>
      <w:r w:rsidR="003434A8" w:rsidRPr="00C17D9E">
        <w:t xml:space="preserve"> from</w:t>
      </w:r>
      <w:r w:rsidR="006005EA" w:rsidRPr="00C17D9E">
        <w:t xml:space="preserve"> </w:t>
      </w:r>
      <w:r w:rsidR="00373341">
        <w:t>CR</w:t>
      </w:r>
      <w:r w:rsidRPr="00C17D9E">
        <w:t xml:space="preserve"> </w:t>
      </w:r>
      <w:r w:rsidR="000D3428" w:rsidRPr="00C17D9E">
        <w:t>by completing</w:t>
      </w:r>
      <w:r w:rsidR="00545232" w:rsidRPr="00C17D9E">
        <w:t xml:space="preserve"> their requirements elsewhere </w:t>
      </w:r>
      <w:r w:rsidRPr="00C17D9E">
        <w:t xml:space="preserve">or through any approved partnerships.  </w:t>
      </w:r>
      <w:r w:rsidR="00373341">
        <w:t>The Board of Trustees</w:t>
      </w:r>
      <w:r w:rsidR="0097574C" w:rsidRPr="00C17D9E">
        <w:t xml:space="preserve"> will</w:t>
      </w:r>
      <w:r w:rsidR="000D3428" w:rsidRPr="00C17D9E">
        <w:t xml:space="preserve"> take the legal action </w:t>
      </w:r>
      <w:r w:rsidR="0097574C" w:rsidRPr="00C17D9E">
        <w:t>to</w:t>
      </w:r>
      <w:r w:rsidR="000D3428" w:rsidRPr="00C17D9E">
        <w:t xml:space="preserve"> set a deadline for completion</w:t>
      </w:r>
      <w:r w:rsidR="006005EA" w:rsidRPr="00C17D9E">
        <w:t xml:space="preserve"> </w:t>
      </w:r>
      <w:r w:rsidRPr="00C17D9E">
        <w:t xml:space="preserve">of degrees and certifications, </w:t>
      </w:r>
      <w:r w:rsidR="00A57FF9" w:rsidRPr="00C17D9E">
        <w:t>authorize</w:t>
      </w:r>
      <w:r w:rsidR="000D3428" w:rsidRPr="00C17D9E">
        <w:t xml:space="preserve"> </w:t>
      </w:r>
      <w:r w:rsidR="00A57FF9" w:rsidRPr="00C17D9E">
        <w:t>the President</w:t>
      </w:r>
      <w:r w:rsidR="00373341">
        <w:t>/Superintendent</w:t>
      </w:r>
      <w:r w:rsidR="00A57FF9" w:rsidRPr="00C17D9E">
        <w:t xml:space="preserve"> of the </w:t>
      </w:r>
      <w:r w:rsidR="00862B58">
        <w:t>College</w:t>
      </w:r>
      <w:r w:rsidR="000B4F71" w:rsidRPr="00C17D9E">
        <w:t xml:space="preserve"> or </w:t>
      </w:r>
      <w:r w:rsidR="00007BE7">
        <w:t>District</w:t>
      </w:r>
      <w:r w:rsidR="000B4F71" w:rsidRPr="00C17D9E">
        <w:t xml:space="preserve"> Chief Executive Officer </w:t>
      </w:r>
      <w:r w:rsidR="000D3428" w:rsidRPr="00C17D9E">
        <w:t xml:space="preserve">to determine whether or not these requirements have in fact been satisfied; and make arrangements with ACCJC in advance </w:t>
      </w:r>
      <w:r w:rsidR="00A01EE4" w:rsidRPr="00C17D9E">
        <w:t>regarding</w:t>
      </w:r>
      <w:r w:rsidR="003434A8" w:rsidRPr="00C17D9E">
        <w:t xml:space="preserve"> </w:t>
      </w:r>
      <w:r w:rsidR="00373341">
        <w:t>CR</w:t>
      </w:r>
      <w:r w:rsidR="003434A8" w:rsidRPr="00C17D9E">
        <w:t xml:space="preserve"> </w:t>
      </w:r>
      <w:r w:rsidR="00A01EE4" w:rsidRPr="00C17D9E">
        <w:t xml:space="preserve">granting </w:t>
      </w:r>
      <w:r w:rsidR="000D3428" w:rsidRPr="00C17D9E">
        <w:t>degrees</w:t>
      </w:r>
      <w:r w:rsidR="0097574C" w:rsidRPr="00C17D9E">
        <w:t>.</w:t>
      </w:r>
      <w:r w:rsidR="008A2D39" w:rsidRPr="00C17D9E">
        <w:t xml:space="preserve"> </w:t>
      </w:r>
      <w:r w:rsidR="003434A8" w:rsidRPr="00C17D9E">
        <w:t xml:space="preserve"> CR and </w:t>
      </w:r>
      <w:r w:rsidR="00373341">
        <w:t>the Board of Trustees</w:t>
      </w:r>
      <w:r w:rsidRPr="00C17D9E">
        <w:t xml:space="preserve"> </w:t>
      </w:r>
      <w:r w:rsidR="00373341">
        <w:t>are</w:t>
      </w:r>
      <w:r w:rsidRPr="00C17D9E">
        <w:t xml:space="preserve"> clear that in the event of termination, the </w:t>
      </w:r>
      <w:r w:rsidR="00862B58">
        <w:t>College</w:t>
      </w:r>
      <w:r w:rsidRPr="00C17D9E">
        <w:t xml:space="preserve"> will not be authorized to award accredited degrees.</w:t>
      </w:r>
    </w:p>
    <w:p w:rsidR="000D3428" w:rsidRPr="00C17D9E" w:rsidRDefault="00373341" w:rsidP="00B96A1A">
      <w:pPr>
        <w:numPr>
          <w:ilvl w:val="0"/>
          <w:numId w:val="11"/>
        </w:numPr>
      </w:pPr>
      <w:r>
        <w:t>The Board of Trustees</w:t>
      </w:r>
      <w:r w:rsidR="0097574C" w:rsidRPr="00C17D9E">
        <w:t xml:space="preserve"> will d</w:t>
      </w:r>
      <w:r w:rsidR="000D3428" w:rsidRPr="00C17D9E">
        <w:t xml:space="preserve">etermine the date </w:t>
      </w:r>
      <w:r w:rsidR="006B2666" w:rsidRPr="00C17D9E">
        <w:t xml:space="preserve">to </w:t>
      </w:r>
      <w:r w:rsidR="000D3428" w:rsidRPr="00C17D9E">
        <w:t xml:space="preserve">file for bankruptcy </w:t>
      </w:r>
      <w:r w:rsidR="00EE532C" w:rsidRPr="00C17D9E">
        <w:t xml:space="preserve">if necessary </w:t>
      </w:r>
      <w:r w:rsidR="000D3428" w:rsidRPr="00C17D9E">
        <w:t>and whether or not all obligations to students have been satisfactorily discharged</w:t>
      </w:r>
      <w:r w:rsidR="005D036F" w:rsidRPr="00C17D9E">
        <w:t>.</w:t>
      </w:r>
    </w:p>
    <w:p w:rsidR="000D3428" w:rsidRPr="00C17D9E" w:rsidRDefault="000D3428" w:rsidP="00B96A1A"/>
    <w:p w:rsidR="000D3428" w:rsidRPr="00C17D9E" w:rsidRDefault="00590089" w:rsidP="00B96A1A">
      <w:pPr>
        <w:rPr>
          <w:b/>
        </w:rPr>
      </w:pPr>
      <w:r w:rsidRPr="00C17D9E">
        <w:rPr>
          <w:b/>
        </w:rPr>
        <w:t>Fruition</w:t>
      </w:r>
      <w:r w:rsidR="008C3E6C">
        <w:rPr>
          <w:b/>
        </w:rPr>
        <w:t>:</w:t>
      </w:r>
    </w:p>
    <w:p w:rsidR="005D036F" w:rsidRPr="00C17D9E" w:rsidRDefault="005D036F" w:rsidP="00B96A1A">
      <w:pPr>
        <w:ind w:left="-360"/>
      </w:pPr>
    </w:p>
    <w:p w:rsidR="008427C4" w:rsidRDefault="00590089" w:rsidP="00B96A1A">
      <w:r w:rsidRPr="00C17D9E">
        <w:t xml:space="preserve">In the event of closure, </w:t>
      </w:r>
      <w:r w:rsidR="00D256E2">
        <w:t>CR</w:t>
      </w:r>
      <w:r w:rsidR="003434A8" w:rsidRPr="00C17D9E">
        <w:t xml:space="preserve"> </w:t>
      </w:r>
      <w:r w:rsidR="00007BE7">
        <w:t>District</w:t>
      </w:r>
      <w:r w:rsidR="0010781F" w:rsidRPr="00C17D9E">
        <w:t xml:space="preserve"> </w:t>
      </w:r>
      <w:r w:rsidR="005D036F" w:rsidRPr="00C17D9E">
        <w:t>will p</w:t>
      </w:r>
      <w:r w:rsidR="000D3428" w:rsidRPr="00C17D9E">
        <w:t>rovide the students with services during the final term in the academics, business office, financial aid office, registrar’s office, counseling, and other essential support services</w:t>
      </w:r>
      <w:r w:rsidR="005D036F" w:rsidRPr="00C17D9E">
        <w:t xml:space="preserve">.  </w:t>
      </w:r>
      <w:r w:rsidR="00B67A25" w:rsidRPr="00C17D9E">
        <w:t xml:space="preserve">The </w:t>
      </w:r>
      <w:r w:rsidR="00007BE7">
        <w:t>District</w:t>
      </w:r>
      <w:r w:rsidR="006A71E5" w:rsidRPr="00C17D9E">
        <w:t xml:space="preserve"> </w:t>
      </w:r>
      <w:r w:rsidRPr="00C17D9E">
        <w:t>will notify</w:t>
      </w:r>
      <w:r w:rsidR="00B67A25" w:rsidRPr="00C17D9E">
        <w:t xml:space="preserve"> </w:t>
      </w:r>
      <w:r w:rsidR="006A71E5" w:rsidRPr="00C17D9E">
        <w:t>management</w:t>
      </w:r>
      <w:r w:rsidR="00BC6233" w:rsidRPr="00C17D9E">
        <w:t>, faculty</w:t>
      </w:r>
      <w:r w:rsidR="006A71E5" w:rsidRPr="00C17D9E">
        <w:t xml:space="preserve"> and classified </w:t>
      </w:r>
      <w:r w:rsidR="005B7091" w:rsidRPr="00C17D9E">
        <w:t>staff</w:t>
      </w:r>
      <w:r w:rsidR="00B67A25" w:rsidRPr="00C17D9E">
        <w:t xml:space="preserve"> </w:t>
      </w:r>
      <w:r w:rsidR="00BC6233" w:rsidRPr="00C17D9E">
        <w:t xml:space="preserve">which </w:t>
      </w:r>
      <w:r w:rsidR="00B67A25" w:rsidRPr="00C17D9E">
        <w:t xml:space="preserve">personnel are to be retained.  </w:t>
      </w:r>
      <w:r w:rsidR="003434A8" w:rsidRPr="00C17D9E">
        <w:t xml:space="preserve">The </w:t>
      </w:r>
      <w:r w:rsidR="00007BE7">
        <w:t>District</w:t>
      </w:r>
      <w:r w:rsidR="006A71E5" w:rsidRPr="00C17D9E">
        <w:t xml:space="preserve"> </w:t>
      </w:r>
      <w:r w:rsidR="005D036F" w:rsidRPr="00C17D9E">
        <w:t>will m</w:t>
      </w:r>
      <w:r w:rsidR="000D3428" w:rsidRPr="00C17D9E">
        <w:t xml:space="preserve">ake </w:t>
      </w:r>
      <w:r w:rsidR="00A5468B" w:rsidRPr="00C17D9E">
        <w:t xml:space="preserve">every </w:t>
      </w:r>
      <w:r w:rsidR="000D3428" w:rsidRPr="00C17D9E">
        <w:t>effort to honor long-term financial obligations (loans, debentures, etc.) even though the parties holding such claims may choose not to press them</w:t>
      </w:r>
      <w:r w:rsidR="005D036F" w:rsidRPr="00C17D9E">
        <w:t>.</w:t>
      </w:r>
      <w:r w:rsidR="006A71E5" w:rsidRPr="00C17D9E">
        <w:t xml:space="preserve">  The </w:t>
      </w:r>
      <w:r w:rsidR="00007BE7">
        <w:t>District</w:t>
      </w:r>
      <w:r w:rsidR="006A71E5" w:rsidRPr="00C17D9E">
        <w:t xml:space="preserve"> will continue to operate in its legal capacity regarding </w:t>
      </w:r>
      <w:r w:rsidR="004E0CAD" w:rsidRPr="00C17D9E">
        <w:t xml:space="preserve">relevant </w:t>
      </w:r>
      <w:r w:rsidR="006A71E5" w:rsidRPr="00C17D9E">
        <w:t>personnel services, fiscal services, facilities services, and other related student services</w:t>
      </w:r>
      <w:r w:rsidRPr="00C17D9E">
        <w:t xml:space="preserve"> during and after the closure period until such time as all legal obligations are met</w:t>
      </w:r>
      <w:r w:rsidR="006A71E5" w:rsidRPr="00C17D9E">
        <w:t>.</w:t>
      </w:r>
    </w:p>
    <w:p w:rsidR="00DD13FC" w:rsidRPr="00C17D9E" w:rsidRDefault="00DD13FC" w:rsidP="00B96A1A"/>
    <w:sectPr w:rsidR="00DD13FC" w:rsidRPr="00C17D9E" w:rsidSect="00731834">
      <w:footerReference w:type="default" r:id="rId19"/>
      <w:pgSz w:w="12240" w:h="15840"/>
      <w:pgMar w:top="1350" w:right="1800" w:bottom="153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9C8" w:rsidRDefault="00CD29C8">
      <w:r>
        <w:separator/>
      </w:r>
    </w:p>
  </w:endnote>
  <w:endnote w:type="continuationSeparator" w:id="0">
    <w:p w:rsidR="00CD29C8" w:rsidRDefault="00CD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367519"/>
      <w:docPartObj>
        <w:docPartGallery w:val="Page Numbers (Bottom of Page)"/>
        <w:docPartUnique/>
      </w:docPartObj>
    </w:sdtPr>
    <w:sdtEndPr/>
    <w:sdtContent>
      <w:sdt>
        <w:sdtPr>
          <w:id w:val="-1669238322"/>
          <w:docPartObj>
            <w:docPartGallery w:val="Page Numbers (Top of Page)"/>
            <w:docPartUnique/>
          </w:docPartObj>
        </w:sdtPr>
        <w:sdtEndPr/>
        <w:sdtContent>
          <w:p w:rsidR="00731834" w:rsidRDefault="00731834">
            <w:pPr>
              <w:pStyle w:val="Footer"/>
              <w:jc w:val="center"/>
            </w:pPr>
            <w:r w:rsidRPr="00731834">
              <w:rPr>
                <w:sz w:val="20"/>
                <w:szCs w:val="20"/>
              </w:rPr>
              <w:t xml:space="preserve">Page </w:t>
            </w:r>
            <w:r w:rsidR="003D52CB" w:rsidRPr="00731834">
              <w:rPr>
                <w:b/>
                <w:bCs/>
                <w:sz w:val="20"/>
                <w:szCs w:val="20"/>
              </w:rPr>
              <w:fldChar w:fldCharType="begin"/>
            </w:r>
            <w:r w:rsidRPr="00731834">
              <w:rPr>
                <w:b/>
                <w:bCs/>
                <w:sz w:val="20"/>
                <w:szCs w:val="20"/>
              </w:rPr>
              <w:instrText xml:space="preserve"> PAGE </w:instrText>
            </w:r>
            <w:r w:rsidR="003D52CB" w:rsidRPr="00731834">
              <w:rPr>
                <w:b/>
                <w:bCs/>
                <w:sz w:val="20"/>
                <w:szCs w:val="20"/>
              </w:rPr>
              <w:fldChar w:fldCharType="separate"/>
            </w:r>
            <w:r w:rsidR="003F63DE">
              <w:rPr>
                <w:b/>
                <w:bCs/>
                <w:noProof/>
                <w:sz w:val="20"/>
                <w:szCs w:val="20"/>
              </w:rPr>
              <w:t>3</w:t>
            </w:r>
            <w:r w:rsidR="003D52CB" w:rsidRPr="00731834">
              <w:rPr>
                <w:b/>
                <w:bCs/>
                <w:sz w:val="20"/>
                <w:szCs w:val="20"/>
              </w:rPr>
              <w:fldChar w:fldCharType="end"/>
            </w:r>
            <w:r w:rsidRPr="00731834">
              <w:rPr>
                <w:sz w:val="20"/>
                <w:szCs w:val="20"/>
              </w:rPr>
              <w:t xml:space="preserve"> of </w:t>
            </w:r>
            <w:r w:rsidR="003D52CB" w:rsidRPr="00731834">
              <w:rPr>
                <w:b/>
                <w:bCs/>
                <w:sz w:val="20"/>
                <w:szCs w:val="20"/>
              </w:rPr>
              <w:fldChar w:fldCharType="begin"/>
            </w:r>
            <w:r w:rsidRPr="00731834">
              <w:rPr>
                <w:b/>
                <w:bCs/>
                <w:sz w:val="20"/>
                <w:szCs w:val="20"/>
              </w:rPr>
              <w:instrText xml:space="preserve"> NUMPAGES  </w:instrText>
            </w:r>
            <w:r w:rsidR="003D52CB" w:rsidRPr="00731834">
              <w:rPr>
                <w:b/>
                <w:bCs/>
                <w:sz w:val="20"/>
                <w:szCs w:val="20"/>
              </w:rPr>
              <w:fldChar w:fldCharType="separate"/>
            </w:r>
            <w:r w:rsidR="003F63DE">
              <w:rPr>
                <w:b/>
                <w:bCs/>
                <w:noProof/>
                <w:sz w:val="20"/>
                <w:szCs w:val="20"/>
              </w:rPr>
              <w:t>11</w:t>
            </w:r>
            <w:r w:rsidR="003D52CB" w:rsidRPr="00731834">
              <w:rPr>
                <w:b/>
                <w:bCs/>
                <w:sz w:val="20"/>
                <w:szCs w:val="20"/>
              </w:rPr>
              <w:fldChar w:fldCharType="end"/>
            </w:r>
          </w:p>
        </w:sdtContent>
      </w:sdt>
    </w:sdtContent>
  </w:sdt>
  <w:p w:rsidR="000F2FD5" w:rsidRPr="00450AC6" w:rsidRDefault="000F2FD5">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9C8" w:rsidRDefault="00CD29C8">
      <w:r>
        <w:separator/>
      </w:r>
    </w:p>
  </w:footnote>
  <w:footnote w:type="continuationSeparator" w:id="0">
    <w:p w:rsidR="00CD29C8" w:rsidRDefault="00CD2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BE0"/>
    <w:multiLevelType w:val="hybridMultilevel"/>
    <w:tmpl w:val="91D05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10399C"/>
    <w:multiLevelType w:val="hybridMultilevel"/>
    <w:tmpl w:val="AFD4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F637C"/>
    <w:multiLevelType w:val="hybridMultilevel"/>
    <w:tmpl w:val="AA62E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7D6623"/>
    <w:multiLevelType w:val="hybridMultilevel"/>
    <w:tmpl w:val="C6043A52"/>
    <w:lvl w:ilvl="0" w:tplc="D22A209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E2A6EF5"/>
    <w:multiLevelType w:val="hybridMultilevel"/>
    <w:tmpl w:val="28B400CE"/>
    <w:lvl w:ilvl="0" w:tplc="9C78559E">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036BE6"/>
    <w:multiLevelType w:val="hybridMultilevel"/>
    <w:tmpl w:val="A16E9128"/>
    <w:lvl w:ilvl="0" w:tplc="D22A209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32B5AA2"/>
    <w:multiLevelType w:val="hybridMultilevel"/>
    <w:tmpl w:val="B3D69A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1A7F0A"/>
    <w:multiLevelType w:val="multilevel"/>
    <w:tmpl w:val="ED58055E"/>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8">
    <w:nsid w:val="2AE30ECF"/>
    <w:multiLevelType w:val="hybridMultilevel"/>
    <w:tmpl w:val="A894B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FA68DC"/>
    <w:multiLevelType w:val="hybridMultilevel"/>
    <w:tmpl w:val="38207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7E6557"/>
    <w:multiLevelType w:val="hybridMultilevel"/>
    <w:tmpl w:val="19DC7048"/>
    <w:lvl w:ilvl="0" w:tplc="04090001">
      <w:start w:val="1"/>
      <w:numFmt w:val="bullet"/>
      <w:lvlText w:val=""/>
      <w:lvlJc w:val="left"/>
      <w:pPr>
        <w:tabs>
          <w:tab w:val="num" w:pos="780"/>
        </w:tabs>
        <w:ind w:left="780" w:hanging="360"/>
      </w:pPr>
      <w:rPr>
        <w:rFonts w:ascii="Symbol" w:hAnsi="Symbol" w:hint="default"/>
      </w:rPr>
    </w:lvl>
    <w:lvl w:ilvl="1" w:tplc="04090001">
      <w:start w:val="1"/>
      <w:numFmt w:val="bullet"/>
      <w:lvlText w:val=""/>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41BF055C"/>
    <w:multiLevelType w:val="hybridMultilevel"/>
    <w:tmpl w:val="ABC42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122BBB"/>
    <w:multiLevelType w:val="hybridMultilevel"/>
    <w:tmpl w:val="0F4AD97C"/>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6D57F7"/>
    <w:multiLevelType w:val="hybridMultilevel"/>
    <w:tmpl w:val="ED58055E"/>
    <w:lvl w:ilvl="0" w:tplc="0409000D">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4BF671CC"/>
    <w:multiLevelType w:val="hybridMultilevel"/>
    <w:tmpl w:val="DBD8A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9A6E20"/>
    <w:multiLevelType w:val="hybridMultilevel"/>
    <w:tmpl w:val="3E88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D811A9"/>
    <w:multiLevelType w:val="hybridMultilevel"/>
    <w:tmpl w:val="6BDA0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AE817CB"/>
    <w:multiLevelType w:val="hybridMultilevel"/>
    <w:tmpl w:val="651AFF38"/>
    <w:lvl w:ilvl="0" w:tplc="04090001">
      <w:start w:val="1"/>
      <w:numFmt w:val="bullet"/>
      <w:lvlText w:val=""/>
      <w:lvlJc w:val="left"/>
      <w:pPr>
        <w:tabs>
          <w:tab w:val="num" w:pos="780"/>
        </w:tabs>
        <w:ind w:left="780" w:hanging="360"/>
      </w:pPr>
      <w:rPr>
        <w:rFonts w:ascii="Symbol" w:hAnsi="Symbol" w:hint="default"/>
      </w:rPr>
    </w:lvl>
    <w:lvl w:ilvl="1" w:tplc="0409000D">
      <w:start w:val="1"/>
      <w:numFmt w:val="bullet"/>
      <w:lvlText w:val=""/>
      <w:lvlJc w:val="left"/>
      <w:pPr>
        <w:tabs>
          <w:tab w:val="num" w:pos="1500"/>
        </w:tabs>
        <w:ind w:left="1500" w:hanging="360"/>
      </w:pPr>
      <w:rPr>
        <w:rFonts w:ascii="Wingdings" w:hAnsi="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72DB1113"/>
    <w:multiLevelType w:val="hybridMultilevel"/>
    <w:tmpl w:val="8C5AC5C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F12378"/>
    <w:multiLevelType w:val="hybridMultilevel"/>
    <w:tmpl w:val="FAE01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8B749FF"/>
    <w:multiLevelType w:val="hybridMultilevel"/>
    <w:tmpl w:val="857C6F1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0"/>
  </w:num>
  <w:num w:numId="4">
    <w:abstractNumId w:val="8"/>
  </w:num>
  <w:num w:numId="5">
    <w:abstractNumId w:val="0"/>
  </w:num>
  <w:num w:numId="6">
    <w:abstractNumId w:val="16"/>
  </w:num>
  <w:num w:numId="7">
    <w:abstractNumId w:val="9"/>
  </w:num>
  <w:num w:numId="8">
    <w:abstractNumId w:val="19"/>
  </w:num>
  <w:num w:numId="9">
    <w:abstractNumId w:val="2"/>
  </w:num>
  <w:num w:numId="10">
    <w:abstractNumId w:val="11"/>
  </w:num>
  <w:num w:numId="11">
    <w:abstractNumId w:val="14"/>
  </w:num>
  <w:num w:numId="12">
    <w:abstractNumId w:val="4"/>
  </w:num>
  <w:num w:numId="13">
    <w:abstractNumId w:val="12"/>
  </w:num>
  <w:num w:numId="14">
    <w:abstractNumId w:val="18"/>
  </w:num>
  <w:num w:numId="15">
    <w:abstractNumId w:val="13"/>
  </w:num>
  <w:num w:numId="16">
    <w:abstractNumId w:val="7"/>
  </w:num>
  <w:num w:numId="17">
    <w:abstractNumId w:val="17"/>
  </w:num>
  <w:num w:numId="18">
    <w:abstractNumId w:val="1"/>
  </w:num>
  <w:num w:numId="19">
    <w:abstractNumId w:val="10"/>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67106"/>
    <w:rsid w:val="000007C6"/>
    <w:rsid w:val="00007BE7"/>
    <w:rsid w:val="000214AC"/>
    <w:rsid w:val="000334A4"/>
    <w:rsid w:val="00043928"/>
    <w:rsid w:val="000444AB"/>
    <w:rsid w:val="000614F3"/>
    <w:rsid w:val="00087E7E"/>
    <w:rsid w:val="00095126"/>
    <w:rsid w:val="000B4F71"/>
    <w:rsid w:val="000C5F7F"/>
    <w:rsid w:val="000C6031"/>
    <w:rsid w:val="000D273F"/>
    <w:rsid w:val="000D3428"/>
    <w:rsid w:val="000E6BE5"/>
    <w:rsid w:val="000F1B8C"/>
    <w:rsid w:val="000F2FD5"/>
    <w:rsid w:val="000F36D9"/>
    <w:rsid w:val="000F793A"/>
    <w:rsid w:val="00100BD8"/>
    <w:rsid w:val="0010781F"/>
    <w:rsid w:val="00116E36"/>
    <w:rsid w:val="00153A67"/>
    <w:rsid w:val="001630F6"/>
    <w:rsid w:val="0017443E"/>
    <w:rsid w:val="001771D2"/>
    <w:rsid w:val="001774F4"/>
    <w:rsid w:val="0017754F"/>
    <w:rsid w:val="001A5D80"/>
    <w:rsid w:val="001A7722"/>
    <w:rsid w:val="001C2C9A"/>
    <w:rsid w:val="001C52C4"/>
    <w:rsid w:val="001D1562"/>
    <w:rsid w:val="001D2B28"/>
    <w:rsid w:val="001D4AF8"/>
    <w:rsid w:val="001E0506"/>
    <w:rsid w:val="00214561"/>
    <w:rsid w:val="00216EEC"/>
    <w:rsid w:val="002212B8"/>
    <w:rsid w:val="00230382"/>
    <w:rsid w:val="002332E5"/>
    <w:rsid w:val="00240BA8"/>
    <w:rsid w:val="00242683"/>
    <w:rsid w:val="00244EE9"/>
    <w:rsid w:val="0025373C"/>
    <w:rsid w:val="00271350"/>
    <w:rsid w:val="00276DCC"/>
    <w:rsid w:val="00282263"/>
    <w:rsid w:val="002910A6"/>
    <w:rsid w:val="00292754"/>
    <w:rsid w:val="0029741C"/>
    <w:rsid w:val="002B17A7"/>
    <w:rsid w:val="002B254E"/>
    <w:rsid w:val="002B3BD1"/>
    <w:rsid w:val="002C12BF"/>
    <w:rsid w:val="002C174E"/>
    <w:rsid w:val="002D154E"/>
    <w:rsid w:val="002D15EE"/>
    <w:rsid w:val="002D771A"/>
    <w:rsid w:val="002E3EFA"/>
    <w:rsid w:val="00336C1B"/>
    <w:rsid w:val="00341F77"/>
    <w:rsid w:val="003434A8"/>
    <w:rsid w:val="00344164"/>
    <w:rsid w:val="00356579"/>
    <w:rsid w:val="0036605B"/>
    <w:rsid w:val="00373341"/>
    <w:rsid w:val="00374F1B"/>
    <w:rsid w:val="00375EF2"/>
    <w:rsid w:val="0037665C"/>
    <w:rsid w:val="00382BBF"/>
    <w:rsid w:val="00393391"/>
    <w:rsid w:val="003A4E80"/>
    <w:rsid w:val="003B535D"/>
    <w:rsid w:val="003D52CB"/>
    <w:rsid w:val="003F63DE"/>
    <w:rsid w:val="00401AD7"/>
    <w:rsid w:val="00404591"/>
    <w:rsid w:val="0042728F"/>
    <w:rsid w:val="00442329"/>
    <w:rsid w:val="00443D30"/>
    <w:rsid w:val="00446331"/>
    <w:rsid w:val="00450AC6"/>
    <w:rsid w:val="004562B7"/>
    <w:rsid w:val="0047139E"/>
    <w:rsid w:val="00486F8A"/>
    <w:rsid w:val="00487350"/>
    <w:rsid w:val="004A1949"/>
    <w:rsid w:val="004B6C1B"/>
    <w:rsid w:val="004D4515"/>
    <w:rsid w:val="004E08F1"/>
    <w:rsid w:val="004E0CAD"/>
    <w:rsid w:val="004E3281"/>
    <w:rsid w:val="004F47B4"/>
    <w:rsid w:val="005108D2"/>
    <w:rsid w:val="00515769"/>
    <w:rsid w:val="00516530"/>
    <w:rsid w:val="00520FB3"/>
    <w:rsid w:val="00523C14"/>
    <w:rsid w:val="0052737F"/>
    <w:rsid w:val="00530B57"/>
    <w:rsid w:val="00543879"/>
    <w:rsid w:val="00545232"/>
    <w:rsid w:val="005640F1"/>
    <w:rsid w:val="00570C5F"/>
    <w:rsid w:val="00571A89"/>
    <w:rsid w:val="00581CA9"/>
    <w:rsid w:val="0058296B"/>
    <w:rsid w:val="00590089"/>
    <w:rsid w:val="00592819"/>
    <w:rsid w:val="005B6183"/>
    <w:rsid w:val="005B7091"/>
    <w:rsid w:val="005D036F"/>
    <w:rsid w:val="005D7D48"/>
    <w:rsid w:val="005E1C10"/>
    <w:rsid w:val="005F0358"/>
    <w:rsid w:val="006005EA"/>
    <w:rsid w:val="00605DC8"/>
    <w:rsid w:val="00615340"/>
    <w:rsid w:val="006349E3"/>
    <w:rsid w:val="00642029"/>
    <w:rsid w:val="006454DE"/>
    <w:rsid w:val="00650E72"/>
    <w:rsid w:val="006705FE"/>
    <w:rsid w:val="00675433"/>
    <w:rsid w:val="00691DB4"/>
    <w:rsid w:val="006930CB"/>
    <w:rsid w:val="00693821"/>
    <w:rsid w:val="00697F94"/>
    <w:rsid w:val="006A71E5"/>
    <w:rsid w:val="006B2666"/>
    <w:rsid w:val="006B40CB"/>
    <w:rsid w:val="006C529A"/>
    <w:rsid w:val="006D07CB"/>
    <w:rsid w:val="006E1845"/>
    <w:rsid w:val="006E60B6"/>
    <w:rsid w:val="006E7F24"/>
    <w:rsid w:val="006F5518"/>
    <w:rsid w:val="007025E7"/>
    <w:rsid w:val="00702BF3"/>
    <w:rsid w:val="007042A3"/>
    <w:rsid w:val="00713F78"/>
    <w:rsid w:val="00721069"/>
    <w:rsid w:val="00726FBE"/>
    <w:rsid w:val="00731834"/>
    <w:rsid w:val="00747320"/>
    <w:rsid w:val="007667D0"/>
    <w:rsid w:val="007B16E5"/>
    <w:rsid w:val="007C285E"/>
    <w:rsid w:val="007D398E"/>
    <w:rsid w:val="007D50DF"/>
    <w:rsid w:val="007D67A3"/>
    <w:rsid w:val="007E0231"/>
    <w:rsid w:val="00802C50"/>
    <w:rsid w:val="008048E7"/>
    <w:rsid w:val="008054ED"/>
    <w:rsid w:val="00814BC3"/>
    <w:rsid w:val="008218B9"/>
    <w:rsid w:val="00827814"/>
    <w:rsid w:val="00827885"/>
    <w:rsid w:val="00834FF1"/>
    <w:rsid w:val="008427C4"/>
    <w:rsid w:val="00843237"/>
    <w:rsid w:val="00845734"/>
    <w:rsid w:val="00852249"/>
    <w:rsid w:val="0085617A"/>
    <w:rsid w:val="00856257"/>
    <w:rsid w:val="008605F7"/>
    <w:rsid w:val="00861AF4"/>
    <w:rsid w:val="00862B58"/>
    <w:rsid w:val="0086644C"/>
    <w:rsid w:val="00867B2B"/>
    <w:rsid w:val="008721C6"/>
    <w:rsid w:val="00876837"/>
    <w:rsid w:val="00881628"/>
    <w:rsid w:val="008867A9"/>
    <w:rsid w:val="00892E59"/>
    <w:rsid w:val="00893B2C"/>
    <w:rsid w:val="0089564E"/>
    <w:rsid w:val="008A2D39"/>
    <w:rsid w:val="008B4159"/>
    <w:rsid w:val="008B4C29"/>
    <w:rsid w:val="008B7471"/>
    <w:rsid w:val="008C11B9"/>
    <w:rsid w:val="008C18D5"/>
    <w:rsid w:val="008C3E6C"/>
    <w:rsid w:val="008D24E1"/>
    <w:rsid w:val="008E36A5"/>
    <w:rsid w:val="008F33F7"/>
    <w:rsid w:val="0090427E"/>
    <w:rsid w:val="009069B2"/>
    <w:rsid w:val="00906B3A"/>
    <w:rsid w:val="00913A8A"/>
    <w:rsid w:val="00926A4F"/>
    <w:rsid w:val="00957CD4"/>
    <w:rsid w:val="00962B99"/>
    <w:rsid w:val="009701C4"/>
    <w:rsid w:val="0097574C"/>
    <w:rsid w:val="00976536"/>
    <w:rsid w:val="009815B7"/>
    <w:rsid w:val="00984E91"/>
    <w:rsid w:val="00984F67"/>
    <w:rsid w:val="0098726C"/>
    <w:rsid w:val="009875B4"/>
    <w:rsid w:val="009971F0"/>
    <w:rsid w:val="009A4568"/>
    <w:rsid w:val="009C1228"/>
    <w:rsid w:val="009E3378"/>
    <w:rsid w:val="009E4F43"/>
    <w:rsid w:val="00A01EE4"/>
    <w:rsid w:val="00A235F6"/>
    <w:rsid w:val="00A40562"/>
    <w:rsid w:val="00A440A1"/>
    <w:rsid w:val="00A50732"/>
    <w:rsid w:val="00A523E7"/>
    <w:rsid w:val="00A5468B"/>
    <w:rsid w:val="00A57FF9"/>
    <w:rsid w:val="00A657F1"/>
    <w:rsid w:val="00A80D32"/>
    <w:rsid w:val="00A8699F"/>
    <w:rsid w:val="00A938EA"/>
    <w:rsid w:val="00AA24B6"/>
    <w:rsid w:val="00AB098F"/>
    <w:rsid w:val="00AD4E83"/>
    <w:rsid w:val="00AE0552"/>
    <w:rsid w:val="00AE7E8A"/>
    <w:rsid w:val="00B12D74"/>
    <w:rsid w:val="00B36734"/>
    <w:rsid w:val="00B509C3"/>
    <w:rsid w:val="00B65BA4"/>
    <w:rsid w:val="00B67A25"/>
    <w:rsid w:val="00B714D6"/>
    <w:rsid w:val="00B806C3"/>
    <w:rsid w:val="00B84F8E"/>
    <w:rsid w:val="00B857A2"/>
    <w:rsid w:val="00B96A1A"/>
    <w:rsid w:val="00BB45B5"/>
    <w:rsid w:val="00BB6829"/>
    <w:rsid w:val="00BC15A7"/>
    <w:rsid w:val="00BC6233"/>
    <w:rsid w:val="00BC6253"/>
    <w:rsid w:val="00BD3681"/>
    <w:rsid w:val="00BD3F16"/>
    <w:rsid w:val="00BF7F3E"/>
    <w:rsid w:val="00C0734A"/>
    <w:rsid w:val="00C17D9E"/>
    <w:rsid w:val="00C33C67"/>
    <w:rsid w:val="00C371D3"/>
    <w:rsid w:val="00C37D00"/>
    <w:rsid w:val="00C54570"/>
    <w:rsid w:val="00C57CA5"/>
    <w:rsid w:val="00C67106"/>
    <w:rsid w:val="00C74419"/>
    <w:rsid w:val="00C76F10"/>
    <w:rsid w:val="00C828F4"/>
    <w:rsid w:val="00C82BAA"/>
    <w:rsid w:val="00CB7E59"/>
    <w:rsid w:val="00CD29C8"/>
    <w:rsid w:val="00CF6BCE"/>
    <w:rsid w:val="00D05748"/>
    <w:rsid w:val="00D14642"/>
    <w:rsid w:val="00D256E2"/>
    <w:rsid w:val="00D445B6"/>
    <w:rsid w:val="00D55C9E"/>
    <w:rsid w:val="00D61621"/>
    <w:rsid w:val="00D805CC"/>
    <w:rsid w:val="00D80A75"/>
    <w:rsid w:val="00D97F15"/>
    <w:rsid w:val="00DA1890"/>
    <w:rsid w:val="00DB124C"/>
    <w:rsid w:val="00DB578A"/>
    <w:rsid w:val="00DC5C98"/>
    <w:rsid w:val="00DC64E8"/>
    <w:rsid w:val="00DC6740"/>
    <w:rsid w:val="00DD13FC"/>
    <w:rsid w:val="00DE047D"/>
    <w:rsid w:val="00DE3CC0"/>
    <w:rsid w:val="00DF5D84"/>
    <w:rsid w:val="00E0081B"/>
    <w:rsid w:val="00E0240B"/>
    <w:rsid w:val="00E25194"/>
    <w:rsid w:val="00E36D32"/>
    <w:rsid w:val="00E36E03"/>
    <w:rsid w:val="00E43EB7"/>
    <w:rsid w:val="00E52414"/>
    <w:rsid w:val="00E63770"/>
    <w:rsid w:val="00E71641"/>
    <w:rsid w:val="00E768A5"/>
    <w:rsid w:val="00E9165A"/>
    <w:rsid w:val="00EB134D"/>
    <w:rsid w:val="00EB2E97"/>
    <w:rsid w:val="00EB2F6B"/>
    <w:rsid w:val="00ED4B46"/>
    <w:rsid w:val="00ED6DC0"/>
    <w:rsid w:val="00EE02D3"/>
    <w:rsid w:val="00EE0871"/>
    <w:rsid w:val="00EE532C"/>
    <w:rsid w:val="00EF27D6"/>
    <w:rsid w:val="00F031CB"/>
    <w:rsid w:val="00F035A6"/>
    <w:rsid w:val="00F05ADC"/>
    <w:rsid w:val="00F27C79"/>
    <w:rsid w:val="00F379F4"/>
    <w:rsid w:val="00F42EC1"/>
    <w:rsid w:val="00F46D94"/>
    <w:rsid w:val="00F51DD9"/>
    <w:rsid w:val="00F527D2"/>
    <w:rsid w:val="00F60017"/>
    <w:rsid w:val="00F65BE1"/>
    <w:rsid w:val="00F8223A"/>
    <w:rsid w:val="00F822E5"/>
    <w:rsid w:val="00F917B3"/>
    <w:rsid w:val="00FB20B2"/>
    <w:rsid w:val="00FB565B"/>
    <w:rsid w:val="00FE1BCE"/>
    <w:rsid w:val="00FE3ACD"/>
    <w:rsid w:val="00FF407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2CB"/>
    <w:rPr>
      <w:sz w:val="24"/>
      <w:szCs w:val="24"/>
    </w:rPr>
  </w:style>
  <w:style w:type="paragraph" w:styleId="Heading1">
    <w:name w:val="heading 1"/>
    <w:basedOn w:val="Normal"/>
    <w:next w:val="Normal"/>
    <w:link w:val="Heading1Char"/>
    <w:autoRedefine/>
    <w:qFormat/>
    <w:rsid w:val="008B4C29"/>
    <w:pPr>
      <w:keepNext/>
      <w:keepLines/>
      <w:spacing w:before="480"/>
      <w:outlineLvl w:val="0"/>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2666"/>
    <w:pPr>
      <w:tabs>
        <w:tab w:val="center" w:pos="4320"/>
        <w:tab w:val="right" w:pos="8640"/>
      </w:tabs>
    </w:pPr>
  </w:style>
  <w:style w:type="paragraph" w:styleId="Footer">
    <w:name w:val="footer"/>
    <w:basedOn w:val="Normal"/>
    <w:link w:val="FooterChar"/>
    <w:uiPriority w:val="99"/>
    <w:rsid w:val="006B2666"/>
    <w:pPr>
      <w:tabs>
        <w:tab w:val="center" w:pos="4320"/>
        <w:tab w:val="right" w:pos="8640"/>
      </w:tabs>
    </w:pPr>
  </w:style>
  <w:style w:type="character" w:styleId="PageNumber">
    <w:name w:val="page number"/>
    <w:basedOn w:val="DefaultParagraphFont"/>
    <w:rsid w:val="006B2666"/>
  </w:style>
  <w:style w:type="paragraph" w:styleId="FootnoteText">
    <w:name w:val="footnote text"/>
    <w:basedOn w:val="Normal"/>
    <w:semiHidden/>
    <w:rsid w:val="00443D30"/>
    <w:rPr>
      <w:sz w:val="20"/>
      <w:szCs w:val="20"/>
    </w:rPr>
  </w:style>
  <w:style w:type="character" w:styleId="FootnoteReference">
    <w:name w:val="footnote reference"/>
    <w:basedOn w:val="DefaultParagraphFont"/>
    <w:semiHidden/>
    <w:rsid w:val="00443D30"/>
    <w:rPr>
      <w:vertAlign w:val="superscript"/>
    </w:rPr>
  </w:style>
  <w:style w:type="paragraph" w:styleId="BalloonText">
    <w:name w:val="Balloon Text"/>
    <w:basedOn w:val="Normal"/>
    <w:semiHidden/>
    <w:rsid w:val="00F65BE1"/>
    <w:rPr>
      <w:rFonts w:ascii="Tahoma" w:hAnsi="Tahoma" w:cs="Tahoma"/>
      <w:sz w:val="16"/>
      <w:szCs w:val="16"/>
    </w:rPr>
  </w:style>
  <w:style w:type="paragraph" w:styleId="DocumentMap">
    <w:name w:val="Document Map"/>
    <w:basedOn w:val="Normal"/>
    <w:semiHidden/>
    <w:rsid w:val="00845734"/>
    <w:pPr>
      <w:shd w:val="clear" w:color="auto" w:fill="000080"/>
    </w:pPr>
    <w:rPr>
      <w:rFonts w:ascii="Tahoma" w:hAnsi="Tahoma" w:cs="Tahoma"/>
      <w:sz w:val="20"/>
      <w:szCs w:val="20"/>
    </w:rPr>
  </w:style>
  <w:style w:type="paragraph" w:customStyle="1" w:styleId="Default">
    <w:name w:val="Default"/>
    <w:uiPriority w:val="99"/>
    <w:rsid w:val="0037665C"/>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1C52C4"/>
    <w:pPr>
      <w:ind w:left="720"/>
      <w:contextualSpacing/>
    </w:pPr>
  </w:style>
  <w:style w:type="character" w:customStyle="1" w:styleId="Heading1Char">
    <w:name w:val="Heading 1 Char"/>
    <w:basedOn w:val="DefaultParagraphFont"/>
    <w:link w:val="Heading1"/>
    <w:rsid w:val="008B4C29"/>
    <w:rPr>
      <w:rFonts w:eastAsiaTheme="majorEastAsia"/>
      <w:b/>
      <w:bCs/>
      <w:sz w:val="28"/>
      <w:szCs w:val="28"/>
    </w:rPr>
  </w:style>
  <w:style w:type="character" w:styleId="Strong">
    <w:name w:val="Strong"/>
    <w:aliases w:val="SubHeader"/>
    <w:basedOn w:val="DefaultParagraphFont"/>
    <w:qFormat/>
    <w:rsid w:val="008B4C29"/>
    <w:rPr>
      <w:b/>
      <w:bCs/>
    </w:rPr>
  </w:style>
  <w:style w:type="character" w:customStyle="1" w:styleId="FooterChar">
    <w:name w:val="Footer Char"/>
    <w:basedOn w:val="DefaultParagraphFont"/>
    <w:link w:val="Footer"/>
    <w:uiPriority w:val="99"/>
    <w:rsid w:val="007318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autoRedefine/>
    <w:qFormat/>
    <w:rsid w:val="008B4C29"/>
    <w:pPr>
      <w:keepNext/>
      <w:keepLines/>
      <w:spacing w:before="480"/>
      <w:outlineLvl w:val="0"/>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2666"/>
    <w:pPr>
      <w:tabs>
        <w:tab w:val="center" w:pos="4320"/>
        <w:tab w:val="right" w:pos="8640"/>
      </w:tabs>
    </w:pPr>
  </w:style>
  <w:style w:type="paragraph" w:styleId="Footer">
    <w:name w:val="footer"/>
    <w:basedOn w:val="Normal"/>
    <w:link w:val="FooterChar"/>
    <w:uiPriority w:val="99"/>
    <w:rsid w:val="006B2666"/>
    <w:pPr>
      <w:tabs>
        <w:tab w:val="center" w:pos="4320"/>
        <w:tab w:val="right" w:pos="8640"/>
      </w:tabs>
    </w:pPr>
  </w:style>
  <w:style w:type="character" w:styleId="PageNumber">
    <w:name w:val="page number"/>
    <w:basedOn w:val="DefaultParagraphFont"/>
    <w:rsid w:val="006B2666"/>
  </w:style>
  <w:style w:type="paragraph" w:styleId="FootnoteText">
    <w:name w:val="footnote text"/>
    <w:basedOn w:val="Normal"/>
    <w:semiHidden/>
    <w:rsid w:val="00443D30"/>
    <w:rPr>
      <w:sz w:val="20"/>
      <w:szCs w:val="20"/>
    </w:rPr>
  </w:style>
  <w:style w:type="character" w:styleId="FootnoteReference">
    <w:name w:val="footnote reference"/>
    <w:basedOn w:val="DefaultParagraphFont"/>
    <w:semiHidden/>
    <w:rsid w:val="00443D30"/>
    <w:rPr>
      <w:vertAlign w:val="superscript"/>
    </w:rPr>
  </w:style>
  <w:style w:type="paragraph" w:styleId="BalloonText">
    <w:name w:val="Balloon Text"/>
    <w:basedOn w:val="Normal"/>
    <w:semiHidden/>
    <w:rsid w:val="00F65BE1"/>
    <w:rPr>
      <w:rFonts w:ascii="Tahoma" w:hAnsi="Tahoma" w:cs="Tahoma"/>
      <w:sz w:val="16"/>
      <w:szCs w:val="16"/>
    </w:rPr>
  </w:style>
  <w:style w:type="paragraph" w:styleId="DocumentMap">
    <w:name w:val="Document Map"/>
    <w:basedOn w:val="Normal"/>
    <w:semiHidden/>
    <w:rsid w:val="00845734"/>
    <w:pPr>
      <w:shd w:val="clear" w:color="auto" w:fill="000080"/>
    </w:pPr>
    <w:rPr>
      <w:rFonts w:ascii="Tahoma" w:hAnsi="Tahoma" w:cs="Tahoma"/>
      <w:sz w:val="20"/>
      <w:szCs w:val="20"/>
    </w:rPr>
  </w:style>
  <w:style w:type="paragraph" w:customStyle="1" w:styleId="Default">
    <w:name w:val="Default"/>
    <w:uiPriority w:val="99"/>
    <w:rsid w:val="0037665C"/>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1C52C4"/>
    <w:pPr>
      <w:ind w:left="720"/>
      <w:contextualSpacing/>
    </w:pPr>
  </w:style>
  <w:style w:type="character" w:customStyle="1" w:styleId="Heading1Char">
    <w:name w:val="Heading 1 Char"/>
    <w:basedOn w:val="DefaultParagraphFont"/>
    <w:link w:val="Heading1"/>
    <w:rsid w:val="008B4C29"/>
    <w:rPr>
      <w:rFonts w:eastAsiaTheme="majorEastAsia"/>
      <w:b/>
      <w:bCs/>
      <w:sz w:val="28"/>
      <w:szCs w:val="28"/>
    </w:rPr>
  </w:style>
  <w:style w:type="character" w:styleId="Strong">
    <w:name w:val="Strong"/>
    <w:aliases w:val="SubHeader"/>
    <w:basedOn w:val="DefaultParagraphFont"/>
    <w:qFormat/>
    <w:rsid w:val="008B4C29"/>
    <w:rPr>
      <w:b/>
      <w:bCs/>
    </w:rPr>
  </w:style>
  <w:style w:type="character" w:customStyle="1" w:styleId="FooterChar">
    <w:name w:val="Footer Char"/>
    <w:basedOn w:val="DefaultParagraphFont"/>
    <w:link w:val="Footer"/>
    <w:uiPriority w:val="99"/>
    <w:rsid w:val="007318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19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1CFAF-C4F5-4AAD-8C15-D0F81CB07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2974</Words>
  <Characters>16955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Outline of Compton Community College Draft Closure Plan</vt:lpstr>
    </vt:vector>
  </TitlesOfParts>
  <Company>Compton Community College</Company>
  <LinksUpToDate>false</LinksUpToDate>
  <CharactersWithSpaces>19890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Compton Community College Draft Closure Plan</dc:title>
  <dc:creator>tyleraq</dc:creator>
  <cp:lastModifiedBy>Windows User</cp:lastModifiedBy>
  <cp:revision>2</cp:revision>
  <cp:lastPrinted>2012-10-12T23:21:00Z</cp:lastPrinted>
  <dcterms:created xsi:type="dcterms:W3CDTF">2012-10-15T14:18:00Z</dcterms:created>
  <dcterms:modified xsi:type="dcterms:W3CDTF">2012-10-15T14:18:00Z</dcterms:modified>
</cp:coreProperties>
</file>